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656816674"/>
        <w:docPartObj>
          <w:docPartGallery w:val="Cover Pages"/>
          <w:docPartUnique/>
        </w:docPartObj>
      </w:sdtPr>
      <w:sdtEndPr>
        <w:rPr>
          <w:rFonts w:ascii="Calibri" w:eastAsia="Calibri" w:hAnsi="Calibri" w:cs="Calibri"/>
          <w:b/>
          <w:bCs/>
          <w:sz w:val="24"/>
          <w:szCs w:val="24"/>
          <w:lang w:val="fr-FR"/>
        </w:rPr>
      </w:sdtEndPr>
      <w:sdtContent>
        <w:p w14:paraId="00D76139" w14:textId="132B7E89" w:rsidR="006A3A69" w:rsidRDefault="00DC37E8" w:rsidP="006A3A69">
          <w:pPr>
            <w:spacing w:after="0"/>
          </w:pPr>
          <w:r>
            <w:rPr>
              <w:noProof/>
            </w:rPr>
            <w:drawing>
              <wp:inline distT="0" distB="0" distL="0" distR="0" wp14:anchorId="06A20D2A" wp14:editId="11DFAB00">
                <wp:extent cx="5669280" cy="1000760"/>
                <wp:effectExtent l="0" t="0" r="7620" b="8890"/>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8"/>
                        <a:srcRect l="31353" t="27146" r="31120" b="61077"/>
                        <a:stretch/>
                      </pic:blipFill>
                      <pic:spPr bwMode="auto">
                        <a:xfrm>
                          <a:off x="0" y="0"/>
                          <a:ext cx="5669280" cy="1000760"/>
                        </a:xfrm>
                        <a:prstGeom prst="rect">
                          <a:avLst/>
                        </a:prstGeom>
                        <a:ln>
                          <a:noFill/>
                        </a:ln>
                        <a:extLst>
                          <a:ext uri="{53640926-AAD7-44D8-BBD7-CCE9431645EC}">
                            <a14:shadowObscured xmlns:a14="http://schemas.microsoft.com/office/drawing/2010/main"/>
                          </a:ext>
                        </a:extLst>
                      </pic:spPr>
                    </pic:pic>
                  </a:graphicData>
                </a:graphic>
              </wp:inline>
            </w:drawing>
          </w:r>
        </w:p>
        <w:p w14:paraId="6C2157EC" w14:textId="77777777" w:rsidR="00EC17BE" w:rsidRDefault="00EC17BE" w:rsidP="006A3A69">
          <w:pPr>
            <w:spacing w:after="0"/>
          </w:pPr>
        </w:p>
        <w:p w14:paraId="61B96E98" w14:textId="77777777" w:rsidR="006A3A69" w:rsidRPr="0062681B" w:rsidRDefault="006A3A69" w:rsidP="006A3A69">
          <w:pPr>
            <w:spacing w:after="0"/>
            <w:rPr>
              <w:rFonts w:ascii="Calibri" w:eastAsia="Calibri" w:hAnsi="Calibri" w:cs="Calibri"/>
              <w:b/>
              <w:sz w:val="24"/>
              <w:szCs w:val="24"/>
              <w:lang w:val="fr-FR"/>
            </w:rPr>
          </w:pPr>
          <w:r w:rsidRPr="0062681B">
            <w:rPr>
              <w:rFonts w:ascii="Calibri" w:eastAsia="Calibri" w:hAnsi="Calibri" w:cs="Calibri"/>
              <w:b/>
              <w:sz w:val="24"/>
              <w:szCs w:val="24"/>
              <w:lang w:val="fr-FR"/>
            </w:rPr>
            <w:t>CONSEIL DE PAIX ET DE S</w:t>
          </w:r>
          <w:r w:rsidRPr="0062681B">
            <w:rPr>
              <w:rFonts w:ascii="Calibri" w:eastAsia="Calibri" w:hAnsi="Calibri" w:cs="Calibri"/>
              <w:b/>
              <w:bCs/>
              <w:sz w:val="24"/>
              <w:szCs w:val="24"/>
              <w:lang w:val="fr-FR"/>
            </w:rPr>
            <w:t>É</w:t>
          </w:r>
          <w:r w:rsidRPr="0062681B">
            <w:rPr>
              <w:rFonts w:ascii="Calibri" w:eastAsia="Calibri" w:hAnsi="Calibri" w:cs="Calibri"/>
              <w:b/>
              <w:sz w:val="24"/>
              <w:szCs w:val="24"/>
              <w:lang w:val="fr-FR"/>
            </w:rPr>
            <w:t>CURIT</w:t>
          </w:r>
          <w:r w:rsidRPr="0062681B">
            <w:rPr>
              <w:rFonts w:ascii="Calibri" w:eastAsia="Calibri" w:hAnsi="Calibri" w:cs="Calibri"/>
              <w:b/>
              <w:bCs/>
              <w:sz w:val="24"/>
              <w:szCs w:val="24"/>
              <w:lang w:val="fr-FR"/>
            </w:rPr>
            <w:t>É</w:t>
          </w:r>
          <w:r w:rsidRPr="0062681B">
            <w:rPr>
              <w:rFonts w:ascii="Calibri" w:eastAsia="Calibri" w:hAnsi="Calibri" w:cs="Calibri"/>
              <w:b/>
              <w:sz w:val="24"/>
              <w:szCs w:val="24"/>
              <w:lang w:val="fr-FR"/>
            </w:rPr>
            <w:t xml:space="preserve"> </w:t>
          </w:r>
        </w:p>
        <w:p w14:paraId="25F75153" w14:textId="1648C5C2" w:rsidR="00023229" w:rsidRPr="008605AB" w:rsidRDefault="00023229" w:rsidP="006A3A69">
          <w:pPr>
            <w:spacing w:after="0"/>
            <w:rPr>
              <w:rFonts w:ascii="Calibri" w:eastAsia="Calibri" w:hAnsi="Calibri" w:cs="Calibri"/>
              <w:b/>
              <w:sz w:val="24"/>
              <w:szCs w:val="24"/>
              <w:lang w:val="fr-FR"/>
            </w:rPr>
          </w:pPr>
          <w:r w:rsidRPr="00DB59B1">
            <w:rPr>
              <w:rFonts w:ascii="Calibri" w:eastAsia="Calibri" w:hAnsi="Calibri" w:cs="Calibri"/>
              <w:b/>
              <w:color w:val="FF0000"/>
              <w:sz w:val="24"/>
              <w:szCs w:val="24"/>
              <w:lang w:val="fr-FR"/>
            </w:rPr>
            <w:t>1057</w:t>
          </w:r>
          <w:r w:rsidRPr="00DB59B1">
            <w:rPr>
              <w:b/>
              <w:color w:val="FF0000"/>
              <w:sz w:val="24"/>
              <w:szCs w:val="24"/>
              <w:vertAlign w:val="superscript"/>
              <w:lang w:val="fr-FR"/>
            </w:rPr>
            <w:t>È</w:t>
          </w:r>
          <w:r w:rsidRPr="00DB59B1">
            <w:rPr>
              <w:rFonts w:ascii="Calibri" w:eastAsia="Calibri" w:hAnsi="Calibri" w:cs="Calibri"/>
              <w:b/>
              <w:color w:val="FF0000"/>
              <w:sz w:val="24"/>
              <w:szCs w:val="24"/>
              <w:vertAlign w:val="superscript"/>
              <w:lang w:val="fr-FR"/>
            </w:rPr>
            <w:t>M</w:t>
          </w:r>
          <w:r w:rsidRPr="00DB59B1">
            <w:rPr>
              <w:b/>
              <w:color w:val="FF0000"/>
              <w:sz w:val="24"/>
              <w:szCs w:val="24"/>
              <w:vertAlign w:val="superscript"/>
              <w:lang w:val="fr-FR"/>
            </w:rPr>
            <w:t>E</w:t>
          </w:r>
          <w:r w:rsidRPr="008605AB">
            <w:rPr>
              <w:rFonts w:ascii="Calibri" w:eastAsia="Calibri" w:hAnsi="Calibri" w:cs="Calibri"/>
              <w:b/>
              <w:sz w:val="24"/>
              <w:szCs w:val="24"/>
              <w:lang w:val="fr-FR"/>
            </w:rPr>
            <w:t xml:space="preserve"> R</w:t>
          </w:r>
          <w:r w:rsidRPr="008605AB">
            <w:rPr>
              <w:rFonts w:ascii="Calibri" w:eastAsia="Calibri" w:hAnsi="Calibri" w:cs="Calibri"/>
              <w:b/>
              <w:bCs/>
              <w:sz w:val="24"/>
              <w:szCs w:val="24"/>
              <w:lang w:val="fr-FR"/>
            </w:rPr>
            <w:t>É</w:t>
          </w:r>
          <w:r w:rsidRPr="008605AB">
            <w:rPr>
              <w:rFonts w:ascii="Calibri" w:eastAsia="Calibri" w:hAnsi="Calibri" w:cs="Calibri"/>
              <w:b/>
              <w:sz w:val="24"/>
              <w:szCs w:val="24"/>
              <w:lang w:val="fr-FR"/>
            </w:rPr>
            <w:t>UNION</w:t>
          </w:r>
          <w:r w:rsidRPr="008605AB">
            <w:rPr>
              <w:rFonts w:ascii="Calibri" w:eastAsia="Calibri" w:hAnsi="Calibri" w:cs="Calibri"/>
              <w:b/>
              <w:sz w:val="24"/>
              <w:szCs w:val="24"/>
              <w:lang w:val="fr-FR"/>
            </w:rPr>
            <w:tab/>
          </w:r>
        </w:p>
        <w:p w14:paraId="1BF79919" w14:textId="520F220C" w:rsidR="00023229" w:rsidRPr="008605AB" w:rsidRDefault="00023229" w:rsidP="00023229">
          <w:pPr>
            <w:spacing w:after="0" w:line="240" w:lineRule="auto"/>
            <w:jc w:val="both"/>
            <w:rPr>
              <w:rFonts w:ascii="Calibri" w:eastAsia="Calibri" w:hAnsi="Calibri" w:cs="Calibri"/>
              <w:b/>
              <w:sz w:val="24"/>
              <w:szCs w:val="24"/>
              <w:lang w:val="fr-FR"/>
            </w:rPr>
          </w:pPr>
        </w:p>
        <w:p w14:paraId="04B9138D" w14:textId="77777777" w:rsidR="00023229" w:rsidRPr="00DB59B1" w:rsidRDefault="00023229" w:rsidP="00023229">
          <w:pPr>
            <w:tabs>
              <w:tab w:val="left" w:pos="5280"/>
            </w:tabs>
            <w:spacing w:after="0" w:line="240" w:lineRule="auto"/>
            <w:jc w:val="both"/>
            <w:rPr>
              <w:rFonts w:ascii="Calibri" w:eastAsia="Calibri" w:hAnsi="Calibri" w:cs="Calibri"/>
              <w:b/>
              <w:color w:val="FF0000"/>
              <w:sz w:val="24"/>
              <w:szCs w:val="24"/>
              <w:lang w:val="fr-FR"/>
            </w:rPr>
          </w:pPr>
          <w:r w:rsidRPr="00DB59B1">
            <w:rPr>
              <w:rFonts w:ascii="Calibri" w:eastAsia="Calibri" w:hAnsi="Calibri" w:cs="Calibri"/>
              <w:b/>
              <w:color w:val="FF0000"/>
              <w:sz w:val="24"/>
              <w:szCs w:val="24"/>
              <w:lang w:val="fr-FR"/>
            </w:rPr>
            <w:t>14 JANVIER 2022</w:t>
          </w:r>
          <w:r w:rsidRPr="00DB59B1">
            <w:rPr>
              <w:rFonts w:ascii="Calibri" w:eastAsia="Calibri" w:hAnsi="Calibri" w:cs="Calibri"/>
              <w:b/>
              <w:color w:val="FF0000"/>
              <w:sz w:val="24"/>
              <w:szCs w:val="24"/>
              <w:lang w:val="fr-FR"/>
            </w:rPr>
            <w:tab/>
          </w:r>
        </w:p>
        <w:p w14:paraId="4B2FB5EE" w14:textId="77777777" w:rsidR="00023229" w:rsidRPr="008605AB" w:rsidRDefault="00023229" w:rsidP="00023229">
          <w:pPr>
            <w:spacing w:after="0" w:line="240" w:lineRule="auto"/>
            <w:jc w:val="both"/>
            <w:rPr>
              <w:rFonts w:ascii="Calibri" w:eastAsia="Calibri" w:hAnsi="Calibri" w:cs="Calibri"/>
              <w:b/>
              <w:sz w:val="24"/>
              <w:szCs w:val="24"/>
              <w:lang w:val="fr-FR"/>
            </w:rPr>
          </w:pPr>
          <w:r w:rsidRPr="00DB59B1">
            <w:rPr>
              <w:rFonts w:ascii="Calibri" w:eastAsia="Calibri" w:hAnsi="Calibri" w:cs="Calibri"/>
              <w:b/>
              <w:color w:val="FF0000"/>
              <w:sz w:val="24"/>
              <w:szCs w:val="24"/>
              <w:lang w:val="fr-FR"/>
            </w:rPr>
            <w:t>ADDIS-AB</w:t>
          </w:r>
          <w:r w:rsidRPr="00DB59B1">
            <w:rPr>
              <w:rFonts w:ascii="Calibri" w:eastAsia="Calibri" w:hAnsi="Calibri" w:cs="Calibri"/>
              <w:b/>
              <w:bCs/>
              <w:color w:val="FF0000"/>
              <w:sz w:val="24"/>
              <w:szCs w:val="24"/>
              <w:lang w:val="fr-FR"/>
            </w:rPr>
            <w:t>É</w:t>
          </w:r>
          <w:r w:rsidRPr="00DB59B1">
            <w:rPr>
              <w:rFonts w:ascii="Calibri" w:eastAsia="Calibri" w:hAnsi="Calibri" w:cs="Calibri"/>
              <w:b/>
              <w:color w:val="FF0000"/>
              <w:sz w:val="24"/>
              <w:szCs w:val="24"/>
              <w:lang w:val="fr-FR"/>
            </w:rPr>
            <w:t xml:space="preserve">BA, </w:t>
          </w:r>
          <w:r w:rsidRPr="00DB59B1">
            <w:rPr>
              <w:rFonts w:ascii="Calibri" w:eastAsia="Calibri" w:hAnsi="Calibri" w:cs="Calibri"/>
              <w:b/>
              <w:bCs/>
              <w:color w:val="FF0000"/>
              <w:sz w:val="24"/>
              <w:szCs w:val="24"/>
              <w:lang w:val="fr-FR"/>
            </w:rPr>
            <w:t>É</w:t>
          </w:r>
          <w:r w:rsidRPr="00DB59B1">
            <w:rPr>
              <w:rFonts w:ascii="Calibri" w:eastAsia="Calibri" w:hAnsi="Calibri" w:cs="Calibri"/>
              <w:b/>
              <w:color w:val="FF0000"/>
              <w:sz w:val="24"/>
              <w:szCs w:val="24"/>
              <w:lang w:val="fr-FR"/>
            </w:rPr>
            <w:t>THIOPIE</w:t>
          </w:r>
        </w:p>
        <w:p w14:paraId="00633DA9" w14:textId="77777777" w:rsidR="00023229" w:rsidRPr="008605AB" w:rsidRDefault="00023229" w:rsidP="00023229">
          <w:pPr>
            <w:spacing w:after="0" w:line="240" w:lineRule="auto"/>
            <w:ind w:left="5760"/>
            <w:jc w:val="right"/>
            <w:rPr>
              <w:rFonts w:ascii="Calibri" w:eastAsia="Calibri" w:hAnsi="Calibri" w:cs="Calibri"/>
              <w:b/>
              <w:bCs/>
              <w:sz w:val="24"/>
              <w:szCs w:val="24"/>
              <w:lang w:val="fr-FR"/>
            </w:rPr>
          </w:pPr>
        </w:p>
        <w:p w14:paraId="7A4139D5" w14:textId="77777777" w:rsidR="00023229" w:rsidRPr="008605AB" w:rsidRDefault="00023229" w:rsidP="00023229">
          <w:pPr>
            <w:spacing w:after="0" w:line="240" w:lineRule="auto"/>
            <w:ind w:left="5760"/>
            <w:jc w:val="right"/>
            <w:rPr>
              <w:rFonts w:ascii="Calibri" w:eastAsia="Calibri" w:hAnsi="Calibri" w:cs="Calibri"/>
              <w:b/>
              <w:bCs/>
              <w:sz w:val="24"/>
              <w:szCs w:val="24"/>
              <w:lang w:val="fr-FR"/>
            </w:rPr>
          </w:pPr>
        </w:p>
        <w:p w14:paraId="33549E7C" w14:textId="07CA3D97" w:rsidR="00023229" w:rsidRPr="008605AB" w:rsidRDefault="00023229" w:rsidP="00023229">
          <w:pPr>
            <w:spacing w:after="0" w:line="240" w:lineRule="auto"/>
            <w:ind w:left="5760"/>
            <w:jc w:val="right"/>
            <w:rPr>
              <w:rFonts w:ascii="Calibri" w:eastAsia="Calibri" w:hAnsi="Calibri" w:cs="Calibri"/>
              <w:b/>
              <w:bCs/>
              <w:sz w:val="24"/>
              <w:szCs w:val="24"/>
              <w:lang w:val="fr-FR"/>
            </w:rPr>
          </w:pPr>
        </w:p>
        <w:p w14:paraId="5050D7E2" w14:textId="77777777" w:rsidR="00023229" w:rsidRPr="008605AB" w:rsidRDefault="00023229" w:rsidP="00023229">
          <w:pPr>
            <w:spacing w:after="0" w:line="240" w:lineRule="auto"/>
            <w:ind w:left="5760"/>
            <w:jc w:val="right"/>
            <w:rPr>
              <w:rFonts w:ascii="Calibri" w:eastAsia="Calibri" w:hAnsi="Calibri" w:cs="Calibri"/>
              <w:b/>
              <w:bCs/>
              <w:sz w:val="24"/>
              <w:szCs w:val="24"/>
              <w:lang w:val="fr-FR"/>
            </w:rPr>
          </w:pPr>
        </w:p>
        <w:p w14:paraId="4876D4F7" w14:textId="68B2412A" w:rsidR="00023229" w:rsidRPr="008605AB" w:rsidRDefault="00023229" w:rsidP="00023229">
          <w:pPr>
            <w:spacing w:after="0" w:line="240" w:lineRule="auto"/>
            <w:ind w:left="5760"/>
            <w:jc w:val="right"/>
            <w:rPr>
              <w:rFonts w:ascii="Calibri" w:eastAsia="Calibri" w:hAnsi="Calibri" w:cs="Calibri"/>
              <w:b/>
              <w:bCs/>
              <w:sz w:val="24"/>
              <w:szCs w:val="24"/>
              <w:lang w:val="fr-FR"/>
            </w:rPr>
          </w:pPr>
          <w:r w:rsidRPr="008605AB">
            <w:rPr>
              <w:rFonts w:ascii="Calibri" w:eastAsia="Calibri" w:hAnsi="Calibri" w:cs="Calibri"/>
              <w:b/>
              <w:bCs/>
              <w:sz w:val="24"/>
              <w:szCs w:val="24"/>
              <w:lang w:val="fr-FR"/>
            </w:rPr>
            <w:t>PSC/</w:t>
          </w:r>
          <w:r w:rsidRPr="00DB59B1">
            <w:rPr>
              <w:rFonts w:ascii="Calibri" w:eastAsia="Calibri" w:hAnsi="Calibri" w:cs="Calibri"/>
              <w:b/>
              <w:bCs/>
              <w:color w:val="FF0000"/>
              <w:sz w:val="24"/>
              <w:szCs w:val="24"/>
              <w:lang w:val="fr-FR"/>
            </w:rPr>
            <w:t>PR/COMM.1/1057 (2022)</w:t>
          </w:r>
        </w:p>
        <w:p w14:paraId="11D4D5BC" w14:textId="70AE6D19" w:rsidR="00023229" w:rsidRDefault="00023229" w:rsidP="00023229">
          <w:pPr>
            <w:spacing w:after="0" w:line="240" w:lineRule="auto"/>
            <w:ind w:left="5760"/>
            <w:jc w:val="right"/>
            <w:rPr>
              <w:rFonts w:ascii="Calibri" w:eastAsia="Calibri" w:hAnsi="Calibri" w:cs="Calibri"/>
              <w:b/>
              <w:bCs/>
              <w:sz w:val="24"/>
              <w:szCs w:val="24"/>
              <w:lang w:val="fr-FR"/>
            </w:rPr>
          </w:pPr>
        </w:p>
        <w:p w14:paraId="2D184425" w14:textId="05146C65" w:rsidR="00023229" w:rsidRDefault="00023229" w:rsidP="00023229">
          <w:pPr>
            <w:spacing w:after="0" w:line="240" w:lineRule="auto"/>
            <w:jc w:val="center"/>
            <w:rPr>
              <w:rFonts w:ascii="Calibri" w:eastAsia="Calibri" w:hAnsi="Calibri" w:cs="Calibri"/>
              <w:b/>
              <w:bCs/>
              <w:sz w:val="24"/>
              <w:szCs w:val="24"/>
              <w:u w:val="single"/>
              <w:lang w:val="fr-FR"/>
            </w:rPr>
          </w:pPr>
        </w:p>
        <w:p w14:paraId="16FB17C9" w14:textId="46662E06" w:rsidR="00023229" w:rsidRDefault="00023229" w:rsidP="00023229">
          <w:pPr>
            <w:spacing w:after="0" w:line="240" w:lineRule="auto"/>
            <w:jc w:val="center"/>
            <w:rPr>
              <w:rFonts w:ascii="Calibri" w:eastAsia="Calibri" w:hAnsi="Calibri" w:cs="Calibri"/>
              <w:b/>
              <w:bCs/>
              <w:sz w:val="24"/>
              <w:szCs w:val="24"/>
              <w:u w:val="single"/>
              <w:lang w:val="fr-FR"/>
            </w:rPr>
          </w:pPr>
        </w:p>
        <w:p w14:paraId="39CC336A" w14:textId="43C3A571" w:rsidR="00023229" w:rsidRDefault="00023229" w:rsidP="00023229">
          <w:pPr>
            <w:spacing w:after="0" w:line="240" w:lineRule="auto"/>
            <w:jc w:val="center"/>
            <w:rPr>
              <w:rFonts w:ascii="Calibri" w:eastAsia="Calibri" w:hAnsi="Calibri" w:cs="Calibri"/>
              <w:b/>
              <w:bCs/>
              <w:sz w:val="24"/>
              <w:szCs w:val="24"/>
              <w:u w:val="single"/>
              <w:lang w:val="fr-FR"/>
            </w:rPr>
          </w:pPr>
        </w:p>
        <w:p w14:paraId="69DD4897" w14:textId="26F14A6D" w:rsidR="00023229" w:rsidRDefault="00023229" w:rsidP="00023229">
          <w:pPr>
            <w:spacing w:after="0" w:line="240" w:lineRule="auto"/>
            <w:jc w:val="center"/>
            <w:rPr>
              <w:rFonts w:ascii="Calibri" w:eastAsia="Calibri" w:hAnsi="Calibri" w:cs="Calibri"/>
              <w:b/>
              <w:bCs/>
              <w:sz w:val="24"/>
              <w:szCs w:val="24"/>
              <w:u w:val="single"/>
              <w:lang w:val="fr-FR"/>
            </w:rPr>
          </w:pPr>
        </w:p>
        <w:p w14:paraId="6936B5F3" w14:textId="18F5AAFB" w:rsidR="00023229" w:rsidRDefault="00023229" w:rsidP="00023229">
          <w:pPr>
            <w:spacing w:after="0" w:line="240" w:lineRule="auto"/>
            <w:jc w:val="center"/>
            <w:rPr>
              <w:rFonts w:ascii="Calibri" w:eastAsia="Calibri" w:hAnsi="Calibri" w:cs="Calibri"/>
              <w:b/>
              <w:bCs/>
              <w:sz w:val="24"/>
              <w:szCs w:val="24"/>
              <w:u w:val="single"/>
              <w:lang w:val="fr-FR"/>
            </w:rPr>
          </w:pPr>
        </w:p>
        <w:p w14:paraId="72EF1719" w14:textId="77BB040E" w:rsidR="00023229" w:rsidRPr="00097FA7" w:rsidRDefault="00023229" w:rsidP="00023229">
          <w:pPr>
            <w:spacing w:after="0" w:line="240" w:lineRule="auto"/>
            <w:jc w:val="center"/>
            <w:rPr>
              <w:rFonts w:ascii="Calibri" w:eastAsia="Calibri" w:hAnsi="Calibri" w:cs="Calibri"/>
              <w:b/>
              <w:bCs/>
              <w:sz w:val="24"/>
              <w:szCs w:val="24"/>
              <w:u w:val="single"/>
              <w:lang w:val="fr-FR"/>
            </w:rPr>
          </w:pPr>
          <w:r w:rsidRPr="00097FA7">
            <w:rPr>
              <w:rFonts w:ascii="Calibri" w:eastAsia="Calibri" w:hAnsi="Calibri" w:cs="Calibri"/>
              <w:b/>
              <w:bCs/>
              <w:sz w:val="24"/>
              <w:szCs w:val="24"/>
              <w:u w:val="single"/>
              <w:lang w:val="fr-FR"/>
            </w:rPr>
            <w:t>COMMUNIQUÉ</w:t>
          </w:r>
        </w:p>
        <w:p w14:paraId="59560288" w14:textId="7C824B21" w:rsidR="00023229" w:rsidRPr="00333C77" w:rsidRDefault="00023229" w:rsidP="00023229">
          <w:pPr>
            <w:spacing w:after="0" w:line="240" w:lineRule="auto"/>
            <w:jc w:val="center"/>
            <w:rPr>
              <w:rFonts w:ascii="Calibri" w:eastAsia="Calibri" w:hAnsi="Calibri" w:cs="Calibri"/>
              <w:b/>
              <w:bCs/>
              <w:sz w:val="24"/>
              <w:szCs w:val="24"/>
              <w:u w:val="single"/>
              <w:lang w:val="fr-FR"/>
            </w:rPr>
          </w:pPr>
        </w:p>
        <w:p w14:paraId="53ABFD56" w14:textId="3E3FCB15" w:rsidR="00023229" w:rsidRPr="00333C77" w:rsidRDefault="00023229" w:rsidP="00023229">
          <w:pPr>
            <w:spacing w:after="0" w:line="240" w:lineRule="auto"/>
            <w:ind w:left="5760"/>
            <w:jc w:val="right"/>
            <w:rPr>
              <w:rFonts w:ascii="Calibri" w:eastAsia="Calibri" w:hAnsi="Calibri" w:cs="Calibri"/>
              <w:b/>
              <w:bCs/>
              <w:sz w:val="24"/>
              <w:szCs w:val="24"/>
              <w:lang w:val="fr-FR"/>
            </w:rPr>
          </w:pPr>
        </w:p>
        <w:p w14:paraId="0822B598" w14:textId="1FDB9799" w:rsidR="00023229" w:rsidRDefault="00023229" w:rsidP="00F73FAB">
          <w:pPr>
            <w:rPr>
              <w:rFonts w:ascii="Calibri" w:eastAsia="Calibri" w:hAnsi="Calibri" w:cs="Calibri"/>
              <w:b/>
              <w:bCs/>
              <w:sz w:val="24"/>
              <w:szCs w:val="24"/>
              <w:lang w:val="fr-FR"/>
            </w:rPr>
          </w:pPr>
          <w:r>
            <w:rPr>
              <w:rFonts w:ascii="Calibri" w:eastAsia="Calibri" w:hAnsi="Calibri" w:cs="Calibri"/>
              <w:b/>
              <w:bCs/>
              <w:sz w:val="24"/>
              <w:szCs w:val="24"/>
              <w:lang w:val="fr-FR"/>
            </w:rPr>
            <w:br w:type="page"/>
          </w:r>
        </w:p>
      </w:sdtContent>
    </w:sdt>
    <w:p w14:paraId="4787658D" w14:textId="77777777" w:rsidR="002C2375" w:rsidRPr="00097FA7" w:rsidRDefault="002C2375" w:rsidP="002C2375">
      <w:pPr>
        <w:spacing w:after="0" w:line="240" w:lineRule="auto"/>
        <w:jc w:val="center"/>
        <w:rPr>
          <w:b/>
          <w:bCs/>
          <w:sz w:val="24"/>
          <w:szCs w:val="24"/>
          <w:u w:val="single"/>
          <w:lang w:val="fr-FR"/>
        </w:rPr>
      </w:pPr>
      <w:r w:rsidRPr="00097FA7">
        <w:rPr>
          <w:b/>
          <w:bCs/>
          <w:sz w:val="24"/>
          <w:szCs w:val="24"/>
          <w:u w:val="single"/>
          <w:lang w:val="fr-FR"/>
        </w:rPr>
        <w:lastRenderedPageBreak/>
        <w:t xml:space="preserve">COMMUNIQUÉ </w:t>
      </w:r>
    </w:p>
    <w:p w14:paraId="304FA731" w14:textId="77777777" w:rsidR="002C2375" w:rsidRPr="00097FA7" w:rsidRDefault="002C2375" w:rsidP="002C2375">
      <w:pPr>
        <w:spacing w:after="0" w:line="240" w:lineRule="auto"/>
        <w:jc w:val="center"/>
        <w:rPr>
          <w:b/>
          <w:bCs/>
          <w:sz w:val="24"/>
          <w:szCs w:val="24"/>
          <w:lang w:val="fr-FR"/>
        </w:rPr>
      </w:pPr>
    </w:p>
    <w:p w14:paraId="7ACDDBE3" w14:textId="77777777" w:rsidR="002C2375" w:rsidRPr="00271697" w:rsidRDefault="002C2375" w:rsidP="002C2375">
      <w:pPr>
        <w:spacing w:after="0" w:line="240" w:lineRule="auto"/>
        <w:ind w:firstLine="720"/>
        <w:jc w:val="both"/>
        <w:rPr>
          <w:b/>
          <w:sz w:val="24"/>
          <w:szCs w:val="24"/>
          <w:lang w:val="fr-FR"/>
        </w:rPr>
      </w:pPr>
      <w:r w:rsidRPr="00271697">
        <w:rPr>
          <w:b/>
          <w:sz w:val="24"/>
          <w:szCs w:val="24"/>
          <w:lang w:val="fr-FR"/>
        </w:rPr>
        <w:t>Adopté par le Conseil de Paix et de Sécurité (CPS) de l'Union africaine (UA), lors de sa 1057</w:t>
      </w:r>
      <w:r w:rsidRPr="001360DF">
        <w:rPr>
          <w:rFonts w:cs="Arial"/>
          <w:sz w:val="24"/>
          <w:szCs w:val="24"/>
          <w:vertAlign w:val="superscript"/>
          <w:lang w:val="fr-FR"/>
        </w:rPr>
        <w:t xml:space="preserve"> </w:t>
      </w:r>
      <w:proofErr w:type="spellStart"/>
      <w:r w:rsidRPr="001360DF">
        <w:rPr>
          <w:rFonts w:cs="Arial"/>
          <w:b/>
          <w:sz w:val="24"/>
          <w:szCs w:val="24"/>
          <w:vertAlign w:val="superscript"/>
          <w:lang w:val="fr-FR"/>
        </w:rPr>
        <w:t>ème</w:t>
      </w:r>
      <w:proofErr w:type="spellEnd"/>
      <w:r w:rsidRPr="00271697">
        <w:rPr>
          <w:b/>
          <w:sz w:val="24"/>
          <w:szCs w:val="24"/>
          <w:vertAlign w:val="superscript"/>
          <w:lang w:val="fr-FR"/>
        </w:rPr>
        <w:t xml:space="preserve"> </w:t>
      </w:r>
      <w:r w:rsidRPr="00271697">
        <w:rPr>
          <w:b/>
          <w:sz w:val="24"/>
          <w:szCs w:val="24"/>
          <w:lang w:val="fr-FR"/>
        </w:rPr>
        <w:t>réunion tenue le 14 janvier 2022, sur la situation au Mali ;</w:t>
      </w:r>
    </w:p>
    <w:p w14:paraId="4679928B" w14:textId="77777777" w:rsidR="002C2375" w:rsidRPr="00097FA7" w:rsidRDefault="002C2375" w:rsidP="002C2375">
      <w:pPr>
        <w:spacing w:after="0" w:line="240" w:lineRule="auto"/>
        <w:rPr>
          <w:b/>
          <w:sz w:val="24"/>
          <w:szCs w:val="24"/>
          <w:u w:val="single"/>
          <w:lang w:val="fr-FR"/>
        </w:rPr>
      </w:pPr>
    </w:p>
    <w:p w14:paraId="40F7BABC" w14:textId="77777777" w:rsidR="002C2375" w:rsidRPr="00271697" w:rsidRDefault="002C2375" w:rsidP="002C2375">
      <w:pPr>
        <w:spacing w:after="0" w:line="240" w:lineRule="auto"/>
        <w:rPr>
          <w:rFonts w:ascii="Calibri" w:eastAsia="Calibri" w:hAnsi="Calibri" w:cs="Calibri"/>
          <w:b/>
          <w:sz w:val="24"/>
          <w:szCs w:val="24"/>
          <w:u w:val="single"/>
          <w:lang w:val="fr-FR"/>
        </w:rPr>
      </w:pPr>
      <w:r w:rsidRPr="00271697">
        <w:rPr>
          <w:b/>
          <w:sz w:val="24"/>
          <w:szCs w:val="24"/>
          <w:u w:val="single"/>
          <w:lang w:val="fr-FR"/>
        </w:rPr>
        <w:t>Le Conseil de Paix et de Sécurité,</w:t>
      </w:r>
    </w:p>
    <w:p w14:paraId="7AC388C6" w14:textId="77777777" w:rsidR="002C2375" w:rsidRPr="00271697" w:rsidRDefault="002C2375" w:rsidP="002C2375">
      <w:pPr>
        <w:spacing w:after="0" w:line="240" w:lineRule="auto"/>
        <w:jc w:val="center"/>
        <w:rPr>
          <w:rFonts w:ascii="Calibri" w:eastAsia="Calibri" w:hAnsi="Calibri" w:cs="Calibri"/>
          <w:b/>
          <w:bCs/>
          <w:sz w:val="24"/>
          <w:szCs w:val="24"/>
          <w:u w:val="single"/>
          <w:lang w:val="fr-FR"/>
        </w:rPr>
      </w:pPr>
    </w:p>
    <w:p w14:paraId="3A6302E6" w14:textId="610915B1" w:rsidR="002C2375" w:rsidRPr="00271697" w:rsidRDefault="002C2375" w:rsidP="002C2375">
      <w:pPr>
        <w:spacing w:after="0" w:line="240" w:lineRule="auto"/>
        <w:ind w:firstLine="720"/>
        <w:jc w:val="both"/>
        <w:rPr>
          <w:sz w:val="24"/>
          <w:szCs w:val="24"/>
          <w:lang w:val="fr-FR"/>
        </w:rPr>
      </w:pPr>
      <w:r w:rsidRPr="00271697">
        <w:rPr>
          <w:b/>
          <w:i/>
          <w:sz w:val="24"/>
          <w:szCs w:val="24"/>
          <w:lang w:val="fr-FR"/>
        </w:rPr>
        <w:t>Rappelant</w:t>
      </w:r>
      <w:r w:rsidRPr="00271697">
        <w:rPr>
          <w:sz w:val="24"/>
          <w:szCs w:val="24"/>
          <w:lang w:val="fr-FR"/>
        </w:rPr>
        <w:t xml:space="preserve"> ses précédents communiqués et</w:t>
      </w:r>
      <w:r>
        <w:rPr>
          <w:sz w:val="24"/>
          <w:szCs w:val="24"/>
          <w:lang w:val="fr-FR"/>
        </w:rPr>
        <w:t xml:space="preserve"> déclarations </w:t>
      </w:r>
      <w:r w:rsidRPr="00271697">
        <w:rPr>
          <w:sz w:val="24"/>
          <w:szCs w:val="24"/>
          <w:lang w:val="fr-FR"/>
        </w:rPr>
        <w:t xml:space="preserve">de presse sur la situation au Mali et dans la région du Sahel, notamment le </w:t>
      </w:r>
      <w:r>
        <w:rPr>
          <w:sz w:val="24"/>
          <w:szCs w:val="24"/>
          <w:lang w:val="fr-FR"/>
        </w:rPr>
        <w:t>C</w:t>
      </w:r>
      <w:r w:rsidRPr="00271697">
        <w:rPr>
          <w:sz w:val="24"/>
          <w:szCs w:val="24"/>
          <w:lang w:val="fr-FR"/>
        </w:rPr>
        <w:t xml:space="preserve">ommuniqué </w:t>
      </w:r>
      <w:hyperlink r:id="rId9" w:history="1">
        <w:r w:rsidRPr="00CC381F">
          <w:rPr>
            <w:rStyle w:val="Hyperlink"/>
            <w:sz w:val="23"/>
            <w:szCs w:val="23"/>
            <w:lang w:val="fr-FR"/>
          </w:rPr>
          <w:t>PSC/PR/COMM.1027(2021)</w:t>
        </w:r>
      </w:hyperlink>
      <w:r w:rsidRPr="00271697">
        <w:rPr>
          <w:sz w:val="24"/>
          <w:szCs w:val="24"/>
          <w:lang w:val="fr-FR"/>
        </w:rPr>
        <w:t xml:space="preserve"> adopté lors de sa 1</w:t>
      </w:r>
      <w:r w:rsidR="008605AB">
        <w:rPr>
          <w:sz w:val="24"/>
          <w:szCs w:val="24"/>
          <w:lang w:val="fr-FR"/>
        </w:rPr>
        <w:t>0</w:t>
      </w:r>
      <w:r w:rsidRPr="00271697">
        <w:rPr>
          <w:sz w:val="24"/>
          <w:szCs w:val="24"/>
          <w:lang w:val="fr-FR"/>
        </w:rPr>
        <w:t>27</w:t>
      </w:r>
      <w:r w:rsidRPr="00A6788D">
        <w:rPr>
          <w:rFonts w:cs="Arial"/>
          <w:sz w:val="24"/>
          <w:szCs w:val="24"/>
          <w:vertAlign w:val="superscript"/>
          <w:lang w:val="fr-FR"/>
        </w:rPr>
        <w:t>e</w:t>
      </w:r>
      <w:r w:rsidRPr="00A6788D">
        <w:rPr>
          <w:rFonts w:cs="Arial"/>
          <w:sz w:val="24"/>
          <w:szCs w:val="24"/>
          <w:lang w:val="fr-FR"/>
        </w:rPr>
        <w:t xml:space="preserve"> </w:t>
      </w:r>
      <w:r w:rsidRPr="00271697">
        <w:rPr>
          <w:sz w:val="24"/>
          <w:szCs w:val="24"/>
          <w:lang w:val="fr-FR"/>
        </w:rPr>
        <w:t xml:space="preserve">réunion tenue le 02 septembre 2021 ; le </w:t>
      </w:r>
      <w:r>
        <w:rPr>
          <w:sz w:val="24"/>
          <w:szCs w:val="24"/>
          <w:lang w:val="fr-FR"/>
        </w:rPr>
        <w:t>C</w:t>
      </w:r>
      <w:r w:rsidRPr="00271697">
        <w:rPr>
          <w:sz w:val="24"/>
          <w:szCs w:val="24"/>
          <w:lang w:val="fr-FR"/>
        </w:rPr>
        <w:t xml:space="preserve">ommuniqué </w:t>
      </w:r>
      <w:hyperlink r:id="rId10" w:history="1">
        <w:r w:rsidR="008A5C6D" w:rsidRPr="00CC381F">
          <w:rPr>
            <w:rStyle w:val="Hyperlink"/>
            <w:sz w:val="23"/>
            <w:szCs w:val="23"/>
            <w:lang w:val="fr-FR"/>
          </w:rPr>
          <w:t>PSC/PR/COMM.</w:t>
        </w:r>
        <w:r w:rsidRPr="00CC381F">
          <w:rPr>
            <w:rStyle w:val="Hyperlink"/>
            <w:sz w:val="23"/>
            <w:szCs w:val="23"/>
            <w:lang w:val="fr-FR"/>
          </w:rPr>
          <w:t>(1001(2021))</w:t>
        </w:r>
      </w:hyperlink>
      <w:r w:rsidRPr="00271697">
        <w:rPr>
          <w:sz w:val="24"/>
          <w:szCs w:val="24"/>
          <w:lang w:val="fr-FR"/>
        </w:rPr>
        <w:t xml:space="preserve"> adopté lors de sa 1001</w:t>
      </w:r>
      <w:r w:rsidRPr="00A6788D">
        <w:rPr>
          <w:rFonts w:cs="Arial"/>
          <w:sz w:val="24"/>
          <w:szCs w:val="24"/>
          <w:vertAlign w:val="superscript"/>
          <w:lang w:val="fr-FR"/>
        </w:rPr>
        <w:t>ème</w:t>
      </w:r>
      <w:r w:rsidRPr="00A6788D">
        <w:rPr>
          <w:rFonts w:cs="Arial"/>
          <w:sz w:val="24"/>
          <w:szCs w:val="24"/>
          <w:lang w:val="fr-FR"/>
        </w:rPr>
        <w:t xml:space="preserve"> </w:t>
      </w:r>
      <w:r w:rsidRPr="00271697">
        <w:rPr>
          <w:sz w:val="24"/>
          <w:szCs w:val="24"/>
          <w:lang w:val="fr-FR"/>
        </w:rPr>
        <w:t xml:space="preserve">réunion tenue le 01 juin 2021 ; et le </w:t>
      </w:r>
      <w:r>
        <w:rPr>
          <w:sz w:val="24"/>
          <w:szCs w:val="24"/>
          <w:lang w:val="fr-FR"/>
        </w:rPr>
        <w:t>C</w:t>
      </w:r>
      <w:r w:rsidRPr="00271697">
        <w:rPr>
          <w:sz w:val="24"/>
          <w:szCs w:val="24"/>
          <w:lang w:val="fr-FR"/>
        </w:rPr>
        <w:t>ommuniqué [PSC/PR/COMM. (M)] adopté lors de sa 1000</w:t>
      </w:r>
      <w:r w:rsidRPr="00A6788D">
        <w:rPr>
          <w:rFonts w:cs="Arial"/>
          <w:sz w:val="24"/>
          <w:szCs w:val="24"/>
          <w:vertAlign w:val="superscript"/>
          <w:lang w:val="fr-FR"/>
        </w:rPr>
        <w:t>ème</w:t>
      </w:r>
      <w:r w:rsidRPr="00A6788D">
        <w:rPr>
          <w:rFonts w:cs="Arial"/>
          <w:sz w:val="24"/>
          <w:szCs w:val="24"/>
          <w:lang w:val="fr-FR"/>
        </w:rPr>
        <w:t xml:space="preserve"> </w:t>
      </w:r>
      <w:r w:rsidRPr="00271697">
        <w:rPr>
          <w:sz w:val="24"/>
          <w:szCs w:val="24"/>
          <w:lang w:val="fr-FR"/>
        </w:rPr>
        <w:t>réunion tenue le 25 mai 2021 ;</w:t>
      </w:r>
    </w:p>
    <w:p w14:paraId="03730BD9" w14:textId="77777777" w:rsidR="002C2375" w:rsidRPr="00271697" w:rsidRDefault="002C2375" w:rsidP="002C2375">
      <w:pPr>
        <w:spacing w:after="0" w:line="240" w:lineRule="auto"/>
        <w:jc w:val="center"/>
        <w:rPr>
          <w:rFonts w:ascii="Calibri" w:eastAsia="Calibri" w:hAnsi="Calibri" w:cs="Calibri"/>
          <w:b/>
          <w:bCs/>
          <w:sz w:val="24"/>
          <w:szCs w:val="24"/>
          <w:u w:val="single"/>
          <w:lang w:val="fr-FR"/>
        </w:rPr>
      </w:pPr>
    </w:p>
    <w:p w14:paraId="6F9A3296" w14:textId="77777777" w:rsidR="002C2375" w:rsidRPr="00271697" w:rsidRDefault="002C2375" w:rsidP="002C2375">
      <w:pPr>
        <w:spacing w:after="0" w:line="240" w:lineRule="auto"/>
        <w:ind w:firstLine="720"/>
        <w:jc w:val="both"/>
        <w:rPr>
          <w:rFonts w:ascii="Calibri" w:eastAsia="Times New Roman" w:hAnsi="Calibri" w:cs="Calibri"/>
          <w:sz w:val="24"/>
          <w:szCs w:val="24"/>
          <w:lang w:val="fr-FR" w:eastAsia="fr-FR"/>
        </w:rPr>
      </w:pPr>
      <w:r w:rsidRPr="00271697">
        <w:rPr>
          <w:rFonts w:ascii="Calibri" w:eastAsia="Times New Roman" w:hAnsi="Calibri" w:cs="Calibri"/>
          <w:b/>
          <w:i/>
          <w:sz w:val="24"/>
          <w:szCs w:val="24"/>
          <w:lang w:val="fr-FR" w:eastAsia="fr-FR"/>
        </w:rPr>
        <w:t>Rappelant également</w:t>
      </w:r>
      <w:r w:rsidRPr="00271697">
        <w:rPr>
          <w:rFonts w:ascii="Calibri" w:eastAsia="Times New Roman" w:hAnsi="Calibri" w:cs="Calibri"/>
          <w:sz w:val="24"/>
          <w:szCs w:val="24"/>
          <w:lang w:val="fr-FR" w:eastAsia="fr-FR"/>
        </w:rPr>
        <w:t xml:space="preserve"> le </w:t>
      </w:r>
      <w:r>
        <w:rPr>
          <w:rFonts w:ascii="Calibri" w:eastAsia="Times New Roman" w:hAnsi="Calibri" w:cs="Calibri"/>
          <w:sz w:val="24"/>
          <w:szCs w:val="24"/>
          <w:lang w:val="fr-FR" w:eastAsia="fr-FR"/>
        </w:rPr>
        <w:t>C</w:t>
      </w:r>
      <w:r w:rsidRPr="00271697">
        <w:rPr>
          <w:rFonts w:ascii="Calibri" w:eastAsia="Times New Roman" w:hAnsi="Calibri" w:cs="Calibri"/>
          <w:sz w:val="24"/>
          <w:szCs w:val="24"/>
          <w:lang w:val="fr-FR" w:eastAsia="fr-FR"/>
        </w:rPr>
        <w:t xml:space="preserve">ommuniqué de la </w:t>
      </w:r>
      <w:r>
        <w:rPr>
          <w:rFonts w:ascii="Calibri" w:eastAsia="Times New Roman" w:hAnsi="Calibri" w:cs="Calibri"/>
          <w:sz w:val="24"/>
          <w:szCs w:val="24"/>
          <w:lang w:val="fr-FR" w:eastAsia="fr-FR"/>
        </w:rPr>
        <w:t>s</w:t>
      </w:r>
      <w:r w:rsidRPr="00271697">
        <w:rPr>
          <w:rFonts w:ascii="Calibri" w:eastAsia="Times New Roman" w:hAnsi="Calibri" w:cs="Calibri"/>
          <w:sz w:val="24"/>
          <w:szCs w:val="24"/>
          <w:lang w:val="fr-FR" w:eastAsia="fr-FR"/>
        </w:rPr>
        <w:t xml:space="preserve">oixantième </w:t>
      </w:r>
      <w:r>
        <w:rPr>
          <w:rFonts w:ascii="Calibri" w:eastAsia="Times New Roman" w:hAnsi="Calibri" w:cs="Calibri"/>
          <w:sz w:val="24"/>
          <w:szCs w:val="24"/>
          <w:lang w:val="fr-FR" w:eastAsia="fr-FR"/>
        </w:rPr>
        <w:t>S</w:t>
      </w:r>
      <w:r w:rsidRPr="00271697">
        <w:rPr>
          <w:rFonts w:ascii="Calibri" w:eastAsia="Times New Roman" w:hAnsi="Calibri" w:cs="Calibri"/>
          <w:sz w:val="24"/>
          <w:szCs w:val="24"/>
          <w:lang w:val="fr-FR" w:eastAsia="fr-FR"/>
        </w:rPr>
        <w:t xml:space="preserve">ession </w:t>
      </w:r>
      <w:r w:rsidRPr="005D40B9">
        <w:rPr>
          <w:rFonts w:ascii="Calibri" w:eastAsia="Times New Roman" w:hAnsi="Calibri" w:cs="Calibri"/>
          <w:sz w:val="24"/>
          <w:szCs w:val="24"/>
          <w:lang w:val="fr-FR" w:eastAsia="fr-FR"/>
        </w:rPr>
        <w:t xml:space="preserve">ordinaire de </w:t>
      </w:r>
      <w:r w:rsidRPr="00126C6F">
        <w:rPr>
          <w:rFonts w:ascii="Calibri" w:eastAsia="Times New Roman" w:hAnsi="Calibri" w:cs="Calibri"/>
          <w:sz w:val="24"/>
          <w:szCs w:val="24"/>
          <w:lang w:val="fr-FR" w:eastAsia="fr-FR"/>
        </w:rPr>
        <w:t>l'Autorité des chefs d'État et de gouvernement de la Communauté économique des États de l'Afrique de l'Ouest (CEDEAO)</w:t>
      </w:r>
      <w:r w:rsidRPr="005D40B9">
        <w:rPr>
          <w:rFonts w:ascii="Calibri" w:eastAsia="Times New Roman" w:hAnsi="Calibri" w:cs="Calibri"/>
          <w:sz w:val="24"/>
          <w:szCs w:val="24"/>
          <w:lang w:val="fr-FR" w:eastAsia="fr-FR"/>
        </w:rPr>
        <w:t>, tenue le 12 décembre 2021 à Abuja, Nigéria, et le Communiqué du quatrième</w:t>
      </w:r>
      <w:r w:rsidRPr="00271697">
        <w:rPr>
          <w:rFonts w:ascii="Calibri" w:eastAsia="Times New Roman" w:hAnsi="Calibri" w:cs="Calibri"/>
          <w:sz w:val="24"/>
          <w:szCs w:val="24"/>
          <w:lang w:val="fr-FR" w:eastAsia="fr-FR"/>
        </w:rPr>
        <w:t xml:space="preserve"> </w:t>
      </w:r>
      <w:r>
        <w:rPr>
          <w:rFonts w:ascii="Calibri" w:eastAsia="Times New Roman" w:hAnsi="Calibri" w:cs="Calibri"/>
          <w:sz w:val="24"/>
          <w:szCs w:val="24"/>
          <w:lang w:val="fr-FR" w:eastAsia="fr-FR"/>
        </w:rPr>
        <w:t>S</w:t>
      </w:r>
      <w:r w:rsidRPr="00271697">
        <w:rPr>
          <w:rFonts w:ascii="Calibri" w:eastAsia="Times New Roman" w:hAnsi="Calibri" w:cs="Calibri"/>
          <w:sz w:val="24"/>
          <w:szCs w:val="24"/>
          <w:lang w:val="fr-FR" w:eastAsia="fr-FR"/>
        </w:rPr>
        <w:t>ommet extraordinaire de l'Autorité des chefs d'État et de gouvernement de la Communauté économique des États de l'Afrique de l'Ouest (CEDEAO), tenu le 9 janvier 2022 à Accra, Ghana ;</w:t>
      </w:r>
    </w:p>
    <w:p w14:paraId="09938B86" w14:textId="77777777" w:rsidR="002C2375" w:rsidRDefault="002C2375" w:rsidP="002C2375">
      <w:pPr>
        <w:spacing w:after="0" w:line="240" w:lineRule="auto"/>
        <w:ind w:firstLine="720"/>
        <w:jc w:val="both"/>
        <w:rPr>
          <w:b/>
          <w:i/>
          <w:sz w:val="24"/>
          <w:szCs w:val="24"/>
          <w:lang w:val="fr-FR"/>
        </w:rPr>
      </w:pPr>
    </w:p>
    <w:p w14:paraId="7C5C3DDC" w14:textId="77777777" w:rsidR="002C2375" w:rsidRPr="00DA1E89" w:rsidRDefault="002C2375" w:rsidP="002C2375">
      <w:pPr>
        <w:spacing w:after="0" w:line="240" w:lineRule="auto"/>
        <w:ind w:firstLine="720"/>
        <w:jc w:val="both"/>
        <w:rPr>
          <w:sz w:val="24"/>
          <w:szCs w:val="24"/>
          <w:lang w:val="fr-FR"/>
        </w:rPr>
      </w:pPr>
      <w:r w:rsidRPr="00DA1E89">
        <w:rPr>
          <w:b/>
          <w:i/>
          <w:sz w:val="24"/>
          <w:szCs w:val="24"/>
          <w:lang w:val="fr-FR"/>
        </w:rPr>
        <w:t>Prend note</w:t>
      </w:r>
      <w:r w:rsidRPr="00DA1E89">
        <w:rPr>
          <w:sz w:val="24"/>
          <w:szCs w:val="24"/>
          <w:lang w:val="fr-FR"/>
        </w:rPr>
        <w:t xml:space="preserve"> de l</w:t>
      </w:r>
      <w:r>
        <w:rPr>
          <w:sz w:val="24"/>
          <w:szCs w:val="24"/>
          <w:lang w:val="fr-FR"/>
        </w:rPr>
        <w:t xml:space="preserve">a déclaration liminaire </w:t>
      </w:r>
      <w:r w:rsidRPr="00DA1E89">
        <w:rPr>
          <w:sz w:val="24"/>
          <w:szCs w:val="24"/>
          <w:lang w:val="fr-FR"/>
        </w:rPr>
        <w:t xml:space="preserve">de S.E. Ambassadeur </w:t>
      </w:r>
      <w:proofErr w:type="spellStart"/>
      <w:r w:rsidRPr="00DA1E89">
        <w:rPr>
          <w:sz w:val="24"/>
          <w:szCs w:val="24"/>
          <w:lang w:val="fr-FR"/>
        </w:rPr>
        <w:t>Amma</w:t>
      </w:r>
      <w:proofErr w:type="spellEnd"/>
      <w:r w:rsidRPr="00DA1E89">
        <w:rPr>
          <w:sz w:val="24"/>
          <w:szCs w:val="24"/>
          <w:lang w:val="fr-FR"/>
        </w:rPr>
        <w:t xml:space="preserve"> </w:t>
      </w:r>
      <w:proofErr w:type="spellStart"/>
      <w:r w:rsidRPr="00DA1E89">
        <w:rPr>
          <w:sz w:val="24"/>
          <w:szCs w:val="24"/>
          <w:lang w:val="fr-FR"/>
        </w:rPr>
        <w:t>Adomaa</w:t>
      </w:r>
      <w:proofErr w:type="spellEnd"/>
      <w:r w:rsidRPr="00DA1E89">
        <w:rPr>
          <w:sz w:val="24"/>
          <w:szCs w:val="24"/>
          <w:lang w:val="fr-FR"/>
        </w:rPr>
        <w:t xml:space="preserve"> </w:t>
      </w:r>
      <w:proofErr w:type="spellStart"/>
      <w:r w:rsidRPr="00DA1E89">
        <w:rPr>
          <w:sz w:val="24"/>
          <w:szCs w:val="24"/>
          <w:lang w:val="fr-FR"/>
        </w:rPr>
        <w:t>Twum-Amoah</w:t>
      </w:r>
      <w:proofErr w:type="spellEnd"/>
      <w:r w:rsidRPr="00DA1E89">
        <w:rPr>
          <w:sz w:val="24"/>
          <w:szCs w:val="24"/>
          <w:lang w:val="fr-FR"/>
        </w:rPr>
        <w:t>, Représentant</w:t>
      </w:r>
      <w:r>
        <w:rPr>
          <w:sz w:val="24"/>
          <w:szCs w:val="24"/>
          <w:lang w:val="fr-FR"/>
        </w:rPr>
        <w:t>e</w:t>
      </w:r>
      <w:r w:rsidRPr="00DA1E89">
        <w:rPr>
          <w:sz w:val="24"/>
          <w:szCs w:val="24"/>
          <w:lang w:val="fr-FR"/>
        </w:rPr>
        <w:t xml:space="preserve"> permanent</w:t>
      </w:r>
      <w:r>
        <w:rPr>
          <w:sz w:val="24"/>
          <w:szCs w:val="24"/>
          <w:lang w:val="fr-FR"/>
        </w:rPr>
        <w:t>e</w:t>
      </w:r>
      <w:r w:rsidRPr="00DA1E89">
        <w:rPr>
          <w:sz w:val="24"/>
          <w:szCs w:val="24"/>
          <w:lang w:val="fr-FR"/>
        </w:rPr>
        <w:t xml:space="preserve"> de la République du Ghana auprès de l'UA et Président</w:t>
      </w:r>
      <w:r>
        <w:rPr>
          <w:sz w:val="24"/>
          <w:szCs w:val="24"/>
          <w:lang w:val="fr-FR"/>
        </w:rPr>
        <w:t>e</w:t>
      </w:r>
      <w:r w:rsidRPr="00DA1E89">
        <w:rPr>
          <w:sz w:val="24"/>
          <w:szCs w:val="24"/>
          <w:lang w:val="fr-FR"/>
        </w:rPr>
        <w:t xml:space="preserve"> du CPS pour le mois de janvier 2022 et de la présentation faite par S.E. Ambassadeur Bankole Adeoye, Commissaire de l'UA </w:t>
      </w:r>
      <w:r>
        <w:rPr>
          <w:sz w:val="24"/>
          <w:szCs w:val="24"/>
          <w:lang w:val="fr-FR"/>
        </w:rPr>
        <w:t>aux</w:t>
      </w:r>
      <w:r w:rsidRPr="00DA1E89">
        <w:rPr>
          <w:sz w:val="24"/>
          <w:szCs w:val="24"/>
          <w:lang w:val="fr-FR"/>
        </w:rPr>
        <w:t xml:space="preserve"> </w:t>
      </w:r>
      <w:r>
        <w:rPr>
          <w:sz w:val="24"/>
          <w:szCs w:val="24"/>
          <w:lang w:val="fr-FR"/>
        </w:rPr>
        <w:t>A</w:t>
      </w:r>
      <w:r w:rsidRPr="00DA1E89">
        <w:rPr>
          <w:sz w:val="24"/>
          <w:szCs w:val="24"/>
          <w:lang w:val="fr-FR"/>
        </w:rPr>
        <w:t xml:space="preserve">ffaires politiques, </w:t>
      </w:r>
      <w:r>
        <w:rPr>
          <w:sz w:val="24"/>
          <w:szCs w:val="24"/>
          <w:lang w:val="fr-FR"/>
        </w:rPr>
        <w:t>à</w:t>
      </w:r>
      <w:r w:rsidRPr="00DA1E89">
        <w:rPr>
          <w:sz w:val="24"/>
          <w:szCs w:val="24"/>
          <w:lang w:val="fr-FR"/>
        </w:rPr>
        <w:t xml:space="preserve"> la </w:t>
      </w:r>
      <w:r>
        <w:rPr>
          <w:sz w:val="24"/>
          <w:szCs w:val="24"/>
          <w:lang w:val="fr-FR"/>
        </w:rPr>
        <w:t>P</w:t>
      </w:r>
      <w:r w:rsidRPr="00DA1E89">
        <w:rPr>
          <w:sz w:val="24"/>
          <w:szCs w:val="24"/>
          <w:lang w:val="fr-FR"/>
        </w:rPr>
        <w:t xml:space="preserve">aix et </w:t>
      </w:r>
      <w:r>
        <w:rPr>
          <w:sz w:val="24"/>
          <w:szCs w:val="24"/>
          <w:lang w:val="fr-FR"/>
        </w:rPr>
        <w:t>à</w:t>
      </w:r>
      <w:r w:rsidRPr="00DA1E89">
        <w:rPr>
          <w:sz w:val="24"/>
          <w:szCs w:val="24"/>
          <w:lang w:val="fr-FR"/>
        </w:rPr>
        <w:t xml:space="preserve"> la </w:t>
      </w:r>
      <w:r>
        <w:rPr>
          <w:sz w:val="24"/>
          <w:szCs w:val="24"/>
          <w:lang w:val="fr-FR"/>
        </w:rPr>
        <w:t>S</w:t>
      </w:r>
      <w:r w:rsidRPr="00DA1E89">
        <w:rPr>
          <w:sz w:val="24"/>
          <w:szCs w:val="24"/>
          <w:lang w:val="fr-FR"/>
        </w:rPr>
        <w:t xml:space="preserve">écurité </w:t>
      </w:r>
      <w:r w:rsidRPr="00525C0A">
        <w:rPr>
          <w:b/>
          <w:i/>
          <w:sz w:val="24"/>
          <w:szCs w:val="24"/>
          <w:lang w:val="fr-FR"/>
        </w:rPr>
        <w:t>; prend également note</w:t>
      </w:r>
      <w:r w:rsidRPr="00DA1E89">
        <w:rPr>
          <w:sz w:val="24"/>
          <w:szCs w:val="24"/>
          <w:lang w:val="fr-FR"/>
        </w:rPr>
        <w:t xml:space="preserve"> des remarques faites par le Haut Représentant du Président de la Commission de l'UA et Chef de la Mission de l'UA pour le Sahel (MISAHEL), S. E. Ambassadeur Maman </w:t>
      </w:r>
      <w:proofErr w:type="spellStart"/>
      <w:r w:rsidRPr="00DA1E89">
        <w:rPr>
          <w:sz w:val="24"/>
          <w:szCs w:val="24"/>
          <w:lang w:val="fr-FR"/>
        </w:rPr>
        <w:t>Sidikou</w:t>
      </w:r>
      <w:proofErr w:type="spellEnd"/>
      <w:r w:rsidRPr="00DA1E89">
        <w:rPr>
          <w:sz w:val="24"/>
          <w:szCs w:val="24"/>
          <w:lang w:val="fr-FR"/>
        </w:rPr>
        <w:t xml:space="preserve"> et des déclarations faites par le Représentant du Président de la Communauté économique des </w:t>
      </w:r>
      <w:r>
        <w:rPr>
          <w:sz w:val="24"/>
          <w:szCs w:val="24"/>
          <w:lang w:val="fr-FR"/>
        </w:rPr>
        <w:t>É</w:t>
      </w:r>
      <w:r w:rsidRPr="00DA1E89">
        <w:rPr>
          <w:sz w:val="24"/>
          <w:szCs w:val="24"/>
          <w:lang w:val="fr-FR"/>
        </w:rPr>
        <w:t>tats de l'Afrique de l'Ouest (CEDE</w:t>
      </w:r>
      <w:r>
        <w:rPr>
          <w:sz w:val="24"/>
          <w:szCs w:val="24"/>
          <w:lang w:val="fr-FR"/>
        </w:rPr>
        <w:t xml:space="preserve">AO), la République du Ghana, par </w:t>
      </w:r>
      <w:r w:rsidRPr="00097FA7">
        <w:rPr>
          <w:sz w:val="24"/>
          <w:szCs w:val="24"/>
          <w:lang w:val="fr-FR"/>
        </w:rPr>
        <w:t xml:space="preserve">S.E. Ambassadeur Salah Francis </w:t>
      </w:r>
      <w:proofErr w:type="spellStart"/>
      <w:r w:rsidRPr="00097FA7">
        <w:rPr>
          <w:sz w:val="24"/>
          <w:szCs w:val="24"/>
          <w:lang w:val="fr-FR"/>
        </w:rPr>
        <w:t>Elhamdi</w:t>
      </w:r>
      <w:proofErr w:type="spellEnd"/>
      <w:r w:rsidRPr="00097FA7">
        <w:rPr>
          <w:sz w:val="24"/>
          <w:szCs w:val="24"/>
          <w:lang w:val="fr-FR"/>
        </w:rPr>
        <w:t>, Représentant permanent de la République algérienne démocratique et populaire</w:t>
      </w:r>
      <w:r w:rsidRPr="00DA1E89">
        <w:rPr>
          <w:sz w:val="24"/>
          <w:szCs w:val="24"/>
          <w:lang w:val="fr-FR"/>
        </w:rPr>
        <w:t>, en sa qualité d</w:t>
      </w:r>
      <w:r>
        <w:rPr>
          <w:sz w:val="24"/>
          <w:szCs w:val="24"/>
          <w:lang w:val="fr-FR"/>
        </w:rPr>
        <w:t>’un</w:t>
      </w:r>
      <w:r w:rsidRPr="00DA1E89">
        <w:rPr>
          <w:sz w:val="24"/>
          <w:szCs w:val="24"/>
          <w:lang w:val="fr-FR"/>
        </w:rPr>
        <w:t xml:space="preserve"> pays voisin</w:t>
      </w:r>
      <w:r>
        <w:rPr>
          <w:sz w:val="24"/>
          <w:szCs w:val="24"/>
          <w:lang w:val="fr-FR"/>
        </w:rPr>
        <w:t xml:space="preserve">, </w:t>
      </w:r>
      <w:r w:rsidRPr="00DA1E89">
        <w:rPr>
          <w:sz w:val="24"/>
          <w:szCs w:val="24"/>
          <w:lang w:val="fr-FR"/>
        </w:rPr>
        <w:t xml:space="preserve">ainsi que </w:t>
      </w:r>
      <w:r>
        <w:rPr>
          <w:sz w:val="24"/>
          <w:szCs w:val="24"/>
          <w:lang w:val="fr-FR"/>
        </w:rPr>
        <w:t>par le R</w:t>
      </w:r>
      <w:r w:rsidRPr="00DA1E89">
        <w:rPr>
          <w:sz w:val="24"/>
          <w:szCs w:val="24"/>
          <w:lang w:val="fr-FR"/>
        </w:rPr>
        <w:t>eprésentant du Bureau des Nations Unies auprès de l'UA ;</w:t>
      </w:r>
    </w:p>
    <w:p w14:paraId="79BE2B3C" w14:textId="77777777" w:rsidR="002C2375" w:rsidRPr="00DA1E89" w:rsidRDefault="002C2375" w:rsidP="002C2375">
      <w:pPr>
        <w:spacing w:after="0" w:line="240" w:lineRule="auto"/>
        <w:jc w:val="both"/>
        <w:rPr>
          <w:rFonts w:ascii="Calibri" w:eastAsia="Times New Roman" w:hAnsi="Calibri" w:cs="Calibri"/>
          <w:sz w:val="24"/>
          <w:szCs w:val="24"/>
          <w:lang w:val="fr-FR" w:eastAsia="fr-FR"/>
        </w:rPr>
      </w:pPr>
    </w:p>
    <w:p w14:paraId="0F8DA8FE" w14:textId="59AB3C8E" w:rsidR="002C2375" w:rsidRPr="00525C0A" w:rsidRDefault="002C2375" w:rsidP="002C2375">
      <w:pPr>
        <w:spacing w:after="0" w:line="240" w:lineRule="auto"/>
        <w:ind w:firstLine="720"/>
        <w:jc w:val="both"/>
        <w:rPr>
          <w:rFonts w:ascii="Calibri" w:eastAsia="Times New Roman" w:hAnsi="Calibri" w:cs="Calibri"/>
          <w:sz w:val="24"/>
          <w:szCs w:val="24"/>
          <w:lang w:val="fr-FR" w:eastAsia="fr-FR"/>
        </w:rPr>
      </w:pPr>
      <w:r w:rsidRPr="00525C0A">
        <w:rPr>
          <w:rFonts w:ascii="Calibri" w:eastAsia="Times New Roman" w:hAnsi="Calibri" w:cs="Calibri"/>
          <w:b/>
          <w:i/>
          <w:sz w:val="24"/>
          <w:szCs w:val="24"/>
          <w:lang w:val="fr-FR" w:eastAsia="fr-FR"/>
        </w:rPr>
        <w:t xml:space="preserve">Conscient </w:t>
      </w:r>
      <w:r w:rsidRPr="00525C0A">
        <w:rPr>
          <w:rFonts w:ascii="Calibri" w:eastAsia="Times New Roman" w:hAnsi="Calibri" w:cs="Calibri"/>
          <w:sz w:val="24"/>
          <w:szCs w:val="24"/>
          <w:lang w:val="fr-FR" w:eastAsia="fr-FR"/>
        </w:rPr>
        <w:t xml:space="preserve">des dispositions de tous les instruments normatifs pertinents de l'UA, notamment l'Acte constitutif de l'UA, le Protocole relatif à la création du Conseil de </w:t>
      </w:r>
      <w:r>
        <w:rPr>
          <w:rFonts w:ascii="Calibri" w:eastAsia="Times New Roman" w:hAnsi="Calibri" w:cs="Calibri"/>
          <w:sz w:val="24"/>
          <w:szCs w:val="24"/>
          <w:lang w:val="fr-FR" w:eastAsia="fr-FR"/>
        </w:rPr>
        <w:t>P</w:t>
      </w:r>
      <w:r w:rsidRPr="00525C0A">
        <w:rPr>
          <w:rFonts w:ascii="Calibri" w:eastAsia="Times New Roman" w:hAnsi="Calibri" w:cs="Calibri"/>
          <w:sz w:val="24"/>
          <w:szCs w:val="24"/>
          <w:lang w:val="fr-FR" w:eastAsia="fr-FR"/>
        </w:rPr>
        <w:t xml:space="preserve">aix et de </w:t>
      </w:r>
      <w:r>
        <w:rPr>
          <w:rFonts w:ascii="Calibri" w:eastAsia="Times New Roman" w:hAnsi="Calibri" w:cs="Calibri"/>
          <w:sz w:val="24"/>
          <w:szCs w:val="24"/>
          <w:lang w:val="fr-FR" w:eastAsia="fr-FR"/>
        </w:rPr>
        <w:t>S</w:t>
      </w:r>
      <w:r w:rsidRPr="00525C0A">
        <w:rPr>
          <w:rFonts w:ascii="Calibri" w:eastAsia="Times New Roman" w:hAnsi="Calibri" w:cs="Calibri"/>
          <w:sz w:val="24"/>
          <w:szCs w:val="24"/>
          <w:lang w:val="fr-FR" w:eastAsia="fr-FR"/>
        </w:rPr>
        <w:t>écurité de l'Union africaine, la Charte africaine de la démocratie, des élections et de la gouvernance et la Déclaration sur le cadre de la réponse de l'OUA aux changements anticonstitutionnels de gouvernement, adoptée par la 36</w:t>
      </w:r>
      <w:r w:rsidRPr="00A6788D">
        <w:rPr>
          <w:rFonts w:cs="Arial"/>
          <w:sz w:val="24"/>
          <w:szCs w:val="24"/>
          <w:vertAlign w:val="superscript"/>
          <w:lang w:val="fr-FR"/>
        </w:rPr>
        <w:t>e</w:t>
      </w:r>
      <w:r w:rsidRPr="00A6788D">
        <w:rPr>
          <w:rFonts w:cs="Arial"/>
          <w:sz w:val="24"/>
          <w:szCs w:val="24"/>
          <w:lang w:val="fr-FR"/>
        </w:rPr>
        <w:t xml:space="preserve"> </w:t>
      </w:r>
      <w:r w:rsidRPr="00525C0A">
        <w:rPr>
          <w:rFonts w:ascii="Calibri" w:eastAsia="Times New Roman" w:hAnsi="Calibri" w:cs="Calibri"/>
          <w:sz w:val="24"/>
          <w:szCs w:val="24"/>
          <w:lang w:val="fr-FR" w:eastAsia="fr-FR"/>
        </w:rPr>
        <w:t xml:space="preserve"> </w:t>
      </w:r>
      <w:r>
        <w:rPr>
          <w:rFonts w:ascii="Calibri" w:eastAsia="Times New Roman" w:hAnsi="Calibri" w:cs="Calibri"/>
          <w:sz w:val="24"/>
          <w:szCs w:val="24"/>
          <w:lang w:val="fr-FR" w:eastAsia="fr-FR"/>
        </w:rPr>
        <w:t>S</w:t>
      </w:r>
      <w:r w:rsidRPr="00525C0A">
        <w:rPr>
          <w:rFonts w:ascii="Calibri" w:eastAsia="Times New Roman" w:hAnsi="Calibri" w:cs="Calibri"/>
          <w:sz w:val="24"/>
          <w:szCs w:val="24"/>
          <w:lang w:val="fr-FR" w:eastAsia="fr-FR"/>
        </w:rPr>
        <w:t>ession ordinaire de la Conférence des chefs d'État et de gouvernement de l'OUA, tenue à Lomé, au Togo, en juillet 2000 (</w:t>
      </w:r>
      <w:hyperlink r:id="rId11" w:history="1">
        <w:r w:rsidRPr="00472022">
          <w:rPr>
            <w:rStyle w:val="Hyperlink"/>
            <w:rFonts w:ascii="Calibri" w:eastAsia="Times New Roman" w:hAnsi="Calibri" w:cs="Calibri"/>
            <w:sz w:val="24"/>
            <w:szCs w:val="24"/>
            <w:lang w:val="fr-FR" w:eastAsia="fr-FR"/>
          </w:rPr>
          <w:t>la Déclaration de Lomé</w:t>
        </w:r>
      </w:hyperlink>
      <w:r w:rsidRPr="00525C0A">
        <w:rPr>
          <w:rFonts w:ascii="Calibri" w:eastAsia="Times New Roman" w:hAnsi="Calibri" w:cs="Calibri"/>
          <w:sz w:val="24"/>
          <w:szCs w:val="24"/>
          <w:lang w:val="fr-FR" w:eastAsia="fr-FR"/>
        </w:rPr>
        <w:t xml:space="preserve">) ; </w:t>
      </w:r>
    </w:p>
    <w:p w14:paraId="4898C60E" w14:textId="77777777" w:rsidR="002C2375" w:rsidRPr="00525C0A" w:rsidRDefault="002C2375" w:rsidP="002C2375">
      <w:pPr>
        <w:spacing w:after="0" w:line="240" w:lineRule="auto"/>
        <w:ind w:firstLine="720"/>
        <w:jc w:val="both"/>
        <w:rPr>
          <w:rFonts w:ascii="Calibri" w:eastAsia="Times New Roman" w:hAnsi="Calibri" w:cs="Calibri"/>
          <w:sz w:val="24"/>
          <w:szCs w:val="24"/>
          <w:lang w:val="fr-FR" w:eastAsia="fr-FR"/>
        </w:rPr>
      </w:pPr>
    </w:p>
    <w:p w14:paraId="27F2E041" w14:textId="77777777" w:rsidR="002C2375" w:rsidRPr="00525C0A" w:rsidRDefault="002C2375" w:rsidP="002C2375">
      <w:pPr>
        <w:spacing w:after="0" w:line="240" w:lineRule="auto"/>
        <w:ind w:firstLine="720"/>
        <w:jc w:val="both"/>
        <w:rPr>
          <w:sz w:val="24"/>
          <w:szCs w:val="24"/>
          <w:lang w:val="fr-FR"/>
        </w:rPr>
      </w:pPr>
      <w:r w:rsidRPr="00525C0A">
        <w:rPr>
          <w:b/>
          <w:i/>
          <w:sz w:val="24"/>
          <w:szCs w:val="24"/>
          <w:lang w:val="fr-FR"/>
        </w:rPr>
        <w:t>Réaffirmant</w:t>
      </w:r>
      <w:r w:rsidRPr="00525C0A">
        <w:rPr>
          <w:sz w:val="24"/>
          <w:szCs w:val="24"/>
          <w:lang w:val="fr-FR"/>
        </w:rPr>
        <w:t xml:space="preserve"> l'engagement indéfectible de l'UA à respec</w:t>
      </w:r>
      <w:r>
        <w:rPr>
          <w:sz w:val="24"/>
          <w:szCs w:val="24"/>
          <w:lang w:val="fr-FR"/>
        </w:rPr>
        <w:t xml:space="preserve">ter la souveraineté, l'unité </w:t>
      </w:r>
      <w:r w:rsidRPr="00525C0A">
        <w:rPr>
          <w:sz w:val="24"/>
          <w:szCs w:val="24"/>
          <w:lang w:val="fr-FR"/>
        </w:rPr>
        <w:t>l'intégrité territoriale du Mali, ainsi que la solidarité de l'UA avec le peuple et le gouvernement du Mali.</w:t>
      </w:r>
    </w:p>
    <w:p w14:paraId="2B91D6EF" w14:textId="77777777" w:rsidR="002C2375" w:rsidRDefault="002C2375" w:rsidP="002C2375">
      <w:pPr>
        <w:spacing w:after="0" w:line="240" w:lineRule="auto"/>
        <w:jc w:val="both"/>
        <w:rPr>
          <w:b/>
          <w:sz w:val="24"/>
          <w:szCs w:val="24"/>
          <w:u w:val="single"/>
          <w:lang w:val="fr-FR"/>
        </w:rPr>
      </w:pPr>
    </w:p>
    <w:p w14:paraId="56BE3A6E" w14:textId="77777777" w:rsidR="003275A2" w:rsidRDefault="003275A2" w:rsidP="002C2375">
      <w:pPr>
        <w:spacing w:after="0" w:line="240" w:lineRule="auto"/>
        <w:jc w:val="both"/>
        <w:rPr>
          <w:b/>
          <w:sz w:val="24"/>
          <w:szCs w:val="24"/>
          <w:u w:val="single"/>
          <w:lang w:val="fr-FR"/>
        </w:rPr>
      </w:pPr>
    </w:p>
    <w:p w14:paraId="380CD14A" w14:textId="77777777" w:rsidR="003275A2" w:rsidRDefault="003275A2" w:rsidP="002C2375">
      <w:pPr>
        <w:spacing w:after="0" w:line="240" w:lineRule="auto"/>
        <w:jc w:val="both"/>
        <w:rPr>
          <w:b/>
          <w:sz w:val="24"/>
          <w:szCs w:val="24"/>
          <w:u w:val="single"/>
          <w:lang w:val="fr-FR"/>
        </w:rPr>
      </w:pPr>
    </w:p>
    <w:p w14:paraId="3F4CF668" w14:textId="7373AEFB" w:rsidR="002C2375" w:rsidRPr="00525C0A" w:rsidRDefault="002C2375" w:rsidP="002C2375">
      <w:pPr>
        <w:spacing w:after="0" w:line="240" w:lineRule="auto"/>
        <w:jc w:val="both"/>
        <w:rPr>
          <w:b/>
          <w:sz w:val="24"/>
          <w:szCs w:val="24"/>
          <w:u w:val="single"/>
          <w:lang w:val="fr-FR"/>
        </w:rPr>
      </w:pPr>
      <w:r w:rsidRPr="00525C0A">
        <w:rPr>
          <w:b/>
          <w:sz w:val="24"/>
          <w:szCs w:val="24"/>
          <w:u w:val="single"/>
          <w:lang w:val="fr-FR"/>
        </w:rPr>
        <w:lastRenderedPageBreak/>
        <w:t>Agissant en vertu de l'</w:t>
      </w:r>
      <w:r>
        <w:rPr>
          <w:b/>
          <w:sz w:val="24"/>
          <w:szCs w:val="24"/>
          <w:u w:val="single"/>
          <w:lang w:val="fr-FR"/>
        </w:rPr>
        <w:t>A</w:t>
      </w:r>
      <w:r w:rsidRPr="00525C0A">
        <w:rPr>
          <w:b/>
          <w:sz w:val="24"/>
          <w:szCs w:val="24"/>
          <w:u w:val="single"/>
          <w:lang w:val="fr-FR"/>
        </w:rPr>
        <w:t xml:space="preserve">rticle 7 de son </w:t>
      </w:r>
      <w:r>
        <w:rPr>
          <w:b/>
          <w:sz w:val="24"/>
          <w:szCs w:val="24"/>
          <w:u w:val="single"/>
          <w:lang w:val="fr-FR"/>
        </w:rPr>
        <w:t>P</w:t>
      </w:r>
      <w:r w:rsidRPr="00525C0A">
        <w:rPr>
          <w:b/>
          <w:sz w:val="24"/>
          <w:szCs w:val="24"/>
          <w:u w:val="single"/>
          <w:lang w:val="fr-FR"/>
        </w:rPr>
        <w:t xml:space="preserve">rotocole, le Conseil de </w:t>
      </w:r>
      <w:r>
        <w:rPr>
          <w:b/>
          <w:sz w:val="24"/>
          <w:szCs w:val="24"/>
          <w:u w:val="single"/>
          <w:lang w:val="fr-FR"/>
        </w:rPr>
        <w:t>P</w:t>
      </w:r>
      <w:r w:rsidRPr="00525C0A">
        <w:rPr>
          <w:b/>
          <w:sz w:val="24"/>
          <w:szCs w:val="24"/>
          <w:u w:val="single"/>
          <w:lang w:val="fr-FR"/>
        </w:rPr>
        <w:t xml:space="preserve">aix et de </w:t>
      </w:r>
      <w:r>
        <w:rPr>
          <w:b/>
          <w:sz w:val="24"/>
          <w:szCs w:val="24"/>
          <w:u w:val="single"/>
          <w:lang w:val="fr-FR"/>
        </w:rPr>
        <w:t>S</w:t>
      </w:r>
      <w:r w:rsidRPr="00525C0A">
        <w:rPr>
          <w:b/>
          <w:sz w:val="24"/>
          <w:szCs w:val="24"/>
          <w:u w:val="single"/>
          <w:lang w:val="fr-FR"/>
        </w:rPr>
        <w:t>écurité,</w:t>
      </w:r>
    </w:p>
    <w:p w14:paraId="0695B8DE" w14:textId="77777777" w:rsidR="002C2375" w:rsidRPr="00525C0A" w:rsidRDefault="002C2375" w:rsidP="002C2375">
      <w:pPr>
        <w:spacing w:after="0" w:line="240" w:lineRule="auto"/>
        <w:ind w:firstLine="720"/>
        <w:jc w:val="both"/>
        <w:rPr>
          <w:sz w:val="24"/>
          <w:szCs w:val="24"/>
          <w:lang w:val="fr-FR"/>
        </w:rPr>
      </w:pPr>
    </w:p>
    <w:p w14:paraId="38E1E242" w14:textId="77777777" w:rsidR="002C2375" w:rsidRDefault="002C2375" w:rsidP="002C2375">
      <w:pPr>
        <w:pStyle w:val="ListParagraph"/>
        <w:numPr>
          <w:ilvl w:val="0"/>
          <w:numId w:val="4"/>
        </w:numPr>
        <w:spacing w:after="0" w:line="240" w:lineRule="auto"/>
        <w:ind w:left="0" w:firstLine="0"/>
        <w:jc w:val="both"/>
        <w:rPr>
          <w:bCs/>
          <w:iCs/>
          <w:sz w:val="24"/>
          <w:szCs w:val="24"/>
          <w:lang w:val="fr-FR"/>
        </w:rPr>
      </w:pPr>
      <w:r w:rsidRPr="00873D2D">
        <w:rPr>
          <w:b/>
          <w:bCs/>
          <w:i/>
          <w:iCs/>
          <w:sz w:val="24"/>
          <w:szCs w:val="24"/>
          <w:lang w:val="fr-FR"/>
        </w:rPr>
        <w:t xml:space="preserve">Fait sien </w:t>
      </w:r>
      <w:r w:rsidRPr="00873D2D">
        <w:rPr>
          <w:bCs/>
          <w:iCs/>
          <w:sz w:val="24"/>
          <w:szCs w:val="24"/>
          <w:lang w:val="fr-FR"/>
        </w:rPr>
        <w:t>le Communiqué du 4</w:t>
      </w:r>
      <w:r w:rsidRPr="00A6788D">
        <w:rPr>
          <w:rFonts w:cs="Arial"/>
          <w:sz w:val="24"/>
          <w:szCs w:val="24"/>
          <w:vertAlign w:val="superscript"/>
          <w:lang w:val="fr-FR"/>
        </w:rPr>
        <w:t>e</w:t>
      </w:r>
      <w:r>
        <w:rPr>
          <w:rFonts w:cs="Arial"/>
          <w:sz w:val="24"/>
          <w:szCs w:val="24"/>
          <w:lang w:val="fr-FR"/>
        </w:rPr>
        <w:t xml:space="preserve"> </w:t>
      </w:r>
      <w:r w:rsidRPr="00873D2D">
        <w:rPr>
          <w:bCs/>
          <w:iCs/>
          <w:sz w:val="24"/>
          <w:szCs w:val="24"/>
          <w:lang w:val="fr-FR"/>
        </w:rPr>
        <w:t xml:space="preserve">Sommet extraordinaire des chefs d'État et de gouvernement de l'Autorité de la CEDEAO, qui s'est tenu le 9 janvier 2022 à Accra, Ghana, et qui, entre autres, a imposé des sanctions économiques et financières supplémentaires à l'encontre du Mali ; </w:t>
      </w:r>
      <w:r w:rsidRPr="00873D2D">
        <w:rPr>
          <w:b/>
          <w:bCs/>
          <w:i/>
          <w:iCs/>
          <w:sz w:val="24"/>
          <w:szCs w:val="24"/>
          <w:lang w:val="fr-FR"/>
        </w:rPr>
        <w:t>approuve également</w:t>
      </w:r>
      <w:r w:rsidRPr="00873D2D">
        <w:rPr>
          <w:bCs/>
          <w:iCs/>
          <w:sz w:val="24"/>
          <w:szCs w:val="24"/>
          <w:lang w:val="fr-FR"/>
        </w:rPr>
        <w:t xml:space="preserve"> le Communiqué de la soixantième </w:t>
      </w:r>
      <w:r w:rsidRPr="0088095D">
        <w:rPr>
          <w:bCs/>
          <w:iCs/>
          <w:sz w:val="24"/>
          <w:szCs w:val="24"/>
          <w:lang w:val="fr-FR"/>
        </w:rPr>
        <w:t>Session ordinaire de l'Autorité de la CEDEAO</w:t>
      </w:r>
      <w:r w:rsidRPr="00242960">
        <w:rPr>
          <w:bCs/>
          <w:iCs/>
          <w:sz w:val="24"/>
          <w:szCs w:val="24"/>
          <w:lang w:val="fr-FR"/>
        </w:rPr>
        <w:t>,</w:t>
      </w:r>
      <w:r w:rsidRPr="00873D2D">
        <w:rPr>
          <w:bCs/>
          <w:iCs/>
          <w:color w:val="FF0000"/>
          <w:sz w:val="24"/>
          <w:szCs w:val="24"/>
          <w:lang w:val="fr-FR"/>
        </w:rPr>
        <w:t xml:space="preserve"> </w:t>
      </w:r>
      <w:r w:rsidRPr="00873D2D">
        <w:rPr>
          <w:bCs/>
          <w:iCs/>
          <w:sz w:val="24"/>
          <w:szCs w:val="24"/>
          <w:lang w:val="fr-FR"/>
        </w:rPr>
        <w:t>qui s'est tenue le 12 décembre 2021 à Abuja, Nigéria, et qui a réaffirmé la nécessité pour les autorités de la transition au Mali de respecter la date limite des élections, faute de quoi des sanctions supplémentaires seraient imposées en conséquence ;</w:t>
      </w:r>
      <w:r>
        <w:rPr>
          <w:bCs/>
          <w:iCs/>
          <w:sz w:val="24"/>
          <w:szCs w:val="24"/>
          <w:lang w:val="fr-FR"/>
        </w:rPr>
        <w:t xml:space="preserve"> </w:t>
      </w:r>
    </w:p>
    <w:p w14:paraId="4CB1CE00" w14:textId="77777777" w:rsidR="002C2375" w:rsidRPr="00873D2D" w:rsidRDefault="002C2375" w:rsidP="002C2375">
      <w:pPr>
        <w:pStyle w:val="ListParagraph"/>
        <w:spacing w:after="0" w:line="240" w:lineRule="auto"/>
        <w:ind w:left="0"/>
        <w:jc w:val="both"/>
        <w:rPr>
          <w:bCs/>
          <w:iCs/>
          <w:sz w:val="24"/>
          <w:szCs w:val="24"/>
          <w:lang w:val="fr-FR"/>
        </w:rPr>
      </w:pPr>
    </w:p>
    <w:p w14:paraId="5C38AF8A" w14:textId="77777777" w:rsidR="002C2375" w:rsidRPr="00873D2D" w:rsidRDefault="002C2375" w:rsidP="002C2375">
      <w:pPr>
        <w:pStyle w:val="ListParagraph"/>
        <w:numPr>
          <w:ilvl w:val="0"/>
          <w:numId w:val="4"/>
        </w:numPr>
        <w:spacing w:after="0" w:line="240" w:lineRule="auto"/>
        <w:ind w:left="0" w:firstLine="0"/>
        <w:jc w:val="both"/>
        <w:rPr>
          <w:bCs/>
          <w:iCs/>
          <w:sz w:val="24"/>
          <w:szCs w:val="24"/>
          <w:lang w:val="fr-FR"/>
        </w:rPr>
      </w:pPr>
      <w:r w:rsidRPr="00873D2D">
        <w:rPr>
          <w:b/>
          <w:i/>
          <w:sz w:val="24"/>
          <w:szCs w:val="24"/>
          <w:lang w:val="fr-FR"/>
        </w:rPr>
        <w:t xml:space="preserve">Exprime </w:t>
      </w:r>
      <w:r w:rsidRPr="00873D2D">
        <w:rPr>
          <w:sz w:val="24"/>
          <w:szCs w:val="24"/>
          <w:lang w:val="fr-FR"/>
        </w:rPr>
        <w:t xml:space="preserve">son soutien total à tous les efforts visant à créer les conditions nécessaires pour favoriser le retour à l'ordre constitutionnel au Mali, y compris les efforts de la CEDEAO et de son médiateur, l'ancien Président nigérian </w:t>
      </w:r>
      <w:proofErr w:type="spellStart"/>
      <w:r w:rsidRPr="00873D2D">
        <w:rPr>
          <w:sz w:val="24"/>
          <w:szCs w:val="24"/>
          <w:lang w:val="fr-FR"/>
        </w:rPr>
        <w:t>Goodluck</w:t>
      </w:r>
      <w:proofErr w:type="spellEnd"/>
      <w:r w:rsidRPr="00873D2D">
        <w:rPr>
          <w:sz w:val="24"/>
          <w:szCs w:val="24"/>
          <w:lang w:val="fr-FR"/>
        </w:rPr>
        <w:t xml:space="preserve"> </w:t>
      </w:r>
      <w:proofErr w:type="spellStart"/>
      <w:r w:rsidRPr="00873D2D">
        <w:rPr>
          <w:sz w:val="24"/>
          <w:szCs w:val="24"/>
          <w:lang w:val="fr-FR"/>
        </w:rPr>
        <w:t>Johnathan</w:t>
      </w:r>
      <w:proofErr w:type="spellEnd"/>
      <w:r w:rsidRPr="00873D2D">
        <w:rPr>
          <w:sz w:val="24"/>
          <w:szCs w:val="24"/>
          <w:lang w:val="fr-FR"/>
        </w:rPr>
        <w:t xml:space="preserve"> ;</w:t>
      </w:r>
    </w:p>
    <w:p w14:paraId="05B31D4C" w14:textId="77777777" w:rsidR="002C2375" w:rsidRPr="00873D2D" w:rsidRDefault="002C2375" w:rsidP="002C2375">
      <w:pPr>
        <w:pStyle w:val="ListParagraph"/>
        <w:spacing w:after="0" w:line="240" w:lineRule="auto"/>
        <w:ind w:left="0"/>
        <w:jc w:val="both"/>
        <w:rPr>
          <w:bCs/>
          <w:iCs/>
          <w:sz w:val="24"/>
          <w:szCs w:val="24"/>
          <w:lang w:val="fr-FR"/>
        </w:rPr>
      </w:pPr>
    </w:p>
    <w:p w14:paraId="4377B01F" w14:textId="77777777" w:rsidR="002C2375" w:rsidRPr="00873D2D" w:rsidRDefault="002C2375" w:rsidP="002C2375">
      <w:pPr>
        <w:pStyle w:val="ListParagraph"/>
        <w:numPr>
          <w:ilvl w:val="0"/>
          <w:numId w:val="4"/>
        </w:numPr>
        <w:spacing w:after="0" w:line="240" w:lineRule="auto"/>
        <w:ind w:left="0" w:firstLine="0"/>
        <w:jc w:val="both"/>
        <w:rPr>
          <w:sz w:val="24"/>
          <w:szCs w:val="24"/>
          <w:lang w:val="fr-FR"/>
        </w:rPr>
      </w:pPr>
      <w:r w:rsidRPr="00873D2D">
        <w:rPr>
          <w:b/>
          <w:i/>
          <w:sz w:val="24"/>
          <w:szCs w:val="24"/>
          <w:lang w:val="fr-FR"/>
        </w:rPr>
        <w:t>Prend acte</w:t>
      </w:r>
      <w:r>
        <w:rPr>
          <w:sz w:val="24"/>
          <w:szCs w:val="24"/>
          <w:lang w:val="fr-FR"/>
        </w:rPr>
        <w:t xml:space="preserve"> des conclusions des </w:t>
      </w:r>
      <w:r w:rsidRPr="00E775A8">
        <w:rPr>
          <w:i/>
          <w:sz w:val="24"/>
          <w:szCs w:val="24"/>
          <w:lang w:val="fr-FR"/>
        </w:rPr>
        <w:t>Assises nationales de la Refondation</w:t>
      </w:r>
      <w:r>
        <w:rPr>
          <w:sz w:val="24"/>
          <w:szCs w:val="24"/>
          <w:lang w:val="fr-FR"/>
        </w:rPr>
        <w:t>,</w:t>
      </w:r>
      <w:r w:rsidRPr="00873D2D">
        <w:rPr>
          <w:sz w:val="24"/>
          <w:szCs w:val="24"/>
          <w:lang w:val="fr-FR"/>
        </w:rPr>
        <w:t xml:space="preserve"> qui ont présenté des recommandations importantes sur les mesures politiques, institutionnelles et sécuritaires vitales pour la paix et la stabilité du Mali ; et </w:t>
      </w:r>
      <w:r w:rsidRPr="00873D2D">
        <w:rPr>
          <w:b/>
          <w:i/>
          <w:sz w:val="24"/>
          <w:szCs w:val="24"/>
          <w:lang w:val="fr-FR"/>
        </w:rPr>
        <w:t>exhorte</w:t>
      </w:r>
      <w:r w:rsidRPr="00873D2D">
        <w:rPr>
          <w:sz w:val="24"/>
          <w:szCs w:val="24"/>
          <w:lang w:val="fr-FR"/>
        </w:rPr>
        <w:t xml:space="preserve">  à la retenue et à la nécessité pour toutes les parties prenantes maliennes de s'engager dans le dialogue et de continuer à travailler ensemble dans le cadre de l'Accord de Paix et de Réconciliation pour le Mali de 2015, issu du processus d'Alger, comme seul moyen de garantir une approche inclusive pour relever les défis auxquels le Mali est confronté, qui sont fondamentalement structurels et liés à la sécurité ;</w:t>
      </w:r>
    </w:p>
    <w:p w14:paraId="61AC61FD" w14:textId="77777777" w:rsidR="002C2375" w:rsidRPr="00873D2D" w:rsidRDefault="002C2375" w:rsidP="002C2375">
      <w:pPr>
        <w:pStyle w:val="ListParagraph"/>
        <w:spacing w:after="0" w:line="240" w:lineRule="auto"/>
        <w:ind w:left="0"/>
        <w:jc w:val="both"/>
        <w:rPr>
          <w:sz w:val="24"/>
          <w:szCs w:val="24"/>
          <w:lang w:val="fr-FR"/>
        </w:rPr>
      </w:pPr>
    </w:p>
    <w:p w14:paraId="2D3800C0" w14:textId="77777777" w:rsidR="002C2375" w:rsidRPr="00D96485" w:rsidRDefault="002C2375" w:rsidP="002C2375">
      <w:pPr>
        <w:pStyle w:val="ListParagraph"/>
        <w:numPr>
          <w:ilvl w:val="0"/>
          <w:numId w:val="4"/>
        </w:numPr>
        <w:spacing w:after="0" w:line="240" w:lineRule="auto"/>
        <w:ind w:left="0" w:firstLine="0"/>
        <w:jc w:val="both"/>
        <w:rPr>
          <w:b/>
          <w:bCs/>
          <w:iCs/>
          <w:sz w:val="24"/>
          <w:szCs w:val="24"/>
          <w:lang w:val="fr-FR"/>
        </w:rPr>
      </w:pPr>
      <w:r w:rsidRPr="00873D2D">
        <w:rPr>
          <w:b/>
          <w:bCs/>
          <w:i/>
          <w:iCs/>
          <w:sz w:val="24"/>
          <w:szCs w:val="24"/>
          <w:lang w:val="fr-FR"/>
        </w:rPr>
        <w:t>Exprime</w:t>
      </w:r>
      <w:r w:rsidRPr="00873D2D">
        <w:rPr>
          <w:b/>
          <w:bCs/>
          <w:iCs/>
          <w:sz w:val="24"/>
          <w:szCs w:val="24"/>
          <w:lang w:val="fr-FR"/>
        </w:rPr>
        <w:t xml:space="preserve"> </w:t>
      </w:r>
      <w:r w:rsidRPr="00873D2D">
        <w:rPr>
          <w:bCs/>
          <w:iCs/>
          <w:sz w:val="24"/>
          <w:szCs w:val="24"/>
          <w:lang w:val="fr-FR"/>
        </w:rPr>
        <w:t>son regret quant au non-respect par les autorités maliennes de transition de la période de transition de 18 mois initialement prévue, conformément à l'engagement pris dans la Charte de la transition, et de l'organisation d'élections démocratiques libres, justes et crédibles le 27 février 2022, comme l'avait demandé le CPS lors de sa 1001</w:t>
      </w:r>
      <w:r w:rsidRPr="00A6788D">
        <w:rPr>
          <w:rFonts w:cs="Arial"/>
          <w:sz w:val="24"/>
          <w:szCs w:val="24"/>
          <w:vertAlign w:val="superscript"/>
          <w:lang w:val="fr-FR"/>
        </w:rPr>
        <w:t>ème</w:t>
      </w:r>
      <w:r w:rsidRPr="00873D2D">
        <w:rPr>
          <w:bCs/>
          <w:iCs/>
          <w:sz w:val="24"/>
          <w:szCs w:val="24"/>
          <w:lang w:val="fr-FR"/>
        </w:rPr>
        <w:t xml:space="preserve"> réunion tenue le 1er juin 2021 ;</w:t>
      </w:r>
    </w:p>
    <w:p w14:paraId="5881976C" w14:textId="77777777" w:rsidR="002C2375" w:rsidRPr="00873D2D" w:rsidRDefault="002C2375" w:rsidP="002C2375">
      <w:pPr>
        <w:pStyle w:val="ListParagraph"/>
        <w:spacing w:after="0" w:line="240" w:lineRule="auto"/>
        <w:ind w:left="0"/>
        <w:jc w:val="both"/>
        <w:rPr>
          <w:b/>
          <w:bCs/>
          <w:iCs/>
          <w:sz w:val="24"/>
          <w:szCs w:val="24"/>
          <w:lang w:val="fr-FR"/>
        </w:rPr>
      </w:pPr>
    </w:p>
    <w:p w14:paraId="7E9AE39F" w14:textId="77777777" w:rsidR="002C2375" w:rsidRDefault="002C2375" w:rsidP="002C2375">
      <w:pPr>
        <w:pStyle w:val="ListParagraph"/>
        <w:numPr>
          <w:ilvl w:val="0"/>
          <w:numId w:val="4"/>
        </w:numPr>
        <w:spacing w:after="0" w:line="240" w:lineRule="auto"/>
        <w:ind w:left="0" w:firstLine="0"/>
        <w:jc w:val="both"/>
        <w:rPr>
          <w:bCs/>
          <w:iCs/>
          <w:sz w:val="24"/>
          <w:szCs w:val="24"/>
          <w:lang w:val="fr-FR"/>
        </w:rPr>
      </w:pPr>
      <w:r w:rsidRPr="00873D2D">
        <w:rPr>
          <w:b/>
          <w:bCs/>
          <w:i/>
          <w:iCs/>
          <w:sz w:val="24"/>
          <w:szCs w:val="24"/>
          <w:lang w:val="fr-FR"/>
        </w:rPr>
        <w:t>Rejette fermement</w:t>
      </w:r>
      <w:r w:rsidRPr="00873D2D">
        <w:rPr>
          <w:bCs/>
          <w:iCs/>
          <w:sz w:val="24"/>
          <w:szCs w:val="24"/>
          <w:lang w:val="fr-FR"/>
        </w:rPr>
        <w:t xml:space="preserve"> le calendrier soumis au Médiateur de la CEDEAO par les Autorités de la Transition malienne prévoyant la tenue des élections présidentielles avant la fin du mois de décembre 2025, fixant la durée de la transition à une période de cinq ans et demi, ce qui constitue un allongement indu du processus de transition au Mali ; et </w:t>
      </w:r>
      <w:r w:rsidRPr="00873D2D">
        <w:rPr>
          <w:b/>
          <w:bCs/>
          <w:i/>
          <w:iCs/>
          <w:sz w:val="24"/>
          <w:szCs w:val="24"/>
          <w:lang w:val="fr-FR"/>
        </w:rPr>
        <w:t xml:space="preserve">souligne </w:t>
      </w:r>
      <w:r w:rsidRPr="00873D2D">
        <w:rPr>
          <w:bCs/>
          <w:iCs/>
          <w:sz w:val="24"/>
          <w:szCs w:val="24"/>
          <w:lang w:val="fr-FR"/>
        </w:rPr>
        <w:t>que ceci est considéré comme inconstitutionnel, inadmissible, inapproprié et constitue une grave obstruction au processus démocratique dans le pays ;</w:t>
      </w:r>
    </w:p>
    <w:p w14:paraId="171B3F5A" w14:textId="77777777" w:rsidR="002C2375" w:rsidRPr="00873D2D" w:rsidRDefault="002C2375" w:rsidP="002C2375">
      <w:pPr>
        <w:pStyle w:val="ListParagraph"/>
        <w:spacing w:after="0" w:line="240" w:lineRule="auto"/>
        <w:ind w:left="0"/>
        <w:jc w:val="both"/>
        <w:rPr>
          <w:bCs/>
          <w:iCs/>
          <w:sz w:val="24"/>
          <w:szCs w:val="24"/>
          <w:lang w:val="fr-FR"/>
        </w:rPr>
      </w:pPr>
    </w:p>
    <w:p w14:paraId="0B5A2B74" w14:textId="77777777" w:rsidR="002C2375" w:rsidRDefault="002C2375" w:rsidP="002C2375">
      <w:pPr>
        <w:pStyle w:val="ListParagraph"/>
        <w:numPr>
          <w:ilvl w:val="0"/>
          <w:numId w:val="4"/>
        </w:numPr>
        <w:spacing w:after="0" w:line="240" w:lineRule="auto"/>
        <w:ind w:left="0" w:firstLine="0"/>
        <w:jc w:val="both"/>
        <w:rPr>
          <w:bCs/>
          <w:iCs/>
          <w:sz w:val="24"/>
          <w:szCs w:val="24"/>
          <w:lang w:val="fr-FR"/>
        </w:rPr>
      </w:pPr>
      <w:r w:rsidRPr="00873D2D">
        <w:rPr>
          <w:b/>
          <w:bCs/>
          <w:i/>
          <w:iCs/>
          <w:sz w:val="24"/>
          <w:szCs w:val="24"/>
          <w:lang w:val="fr-FR"/>
        </w:rPr>
        <w:t>Appelle</w:t>
      </w:r>
      <w:r w:rsidRPr="00873D2D">
        <w:rPr>
          <w:bCs/>
          <w:iCs/>
          <w:sz w:val="24"/>
          <w:szCs w:val="24"/>
          <w:lang w:val="fr-FR"/>
        </w:rPr>
        <w:t xml:space="preserve"> les autorités maliennes de la Transition à respecter la Charte de la transition et les décisions du CPS et de la CEDEAO et à organiser des élections libres, justes et crédibles dans un délai raisonnable à convenir par toutes les parties prenantes ; et </w:t>
      </w:r>
      <w:r w:rsidRPr="00873D2D">
        <w:rPr>
          <w:b/>
          <w:bCs/>
          <w:i/>
          <w:iCs/>
          <w:sz w:val="24"/>
          <w:szCs w:val="24"/>
          <w:lang w:val="fr-FR"/>
        </w:rPr>
        <w:t>souligne</w:t>
      </w:r>
      <w:r w:rsidRPr="00873D2D">
        <w:rPr>
          <w:bCs/>
          <w:iCs/>
          <w:sz w:val="24"/>
          <w:szCs w:val="24"/>
          <w:lang w:val="fr-FR"/>
        </w:rPr>
        <w:t xml:space="preserve"> l'impératif d'une restauration rapide de l'ordre constitutionnel et démocratique dirigé par des civils, qui est la feuille de route fondamentale pour la stabilité et le développement durables au Mali et dans la région du Sahel ;</w:t>
      </w:r>
    </w:p>
    <w:p w14:paraId="1D41A6C2" w14:textId="77777777" w:rsidR="002C2375" w:rsidRPr="00873D2D" w:rsidRDefault="002C2375" w:rsidP="002C2375">
      <w:pPr>
        <w:pStyle w:val="ListParagraph"/>
        <w:spacing w:after="0" w:line="240" w:lineRule="auto"/>
        <w:ind w:left="0"/>
        <w:jc w:val="both"/>
        <w:rPr>
          <w:bCs/>
          <w:iCs/>
          <w:sz w:val="24"/>
          <w:szCs w:val="24"/>
          <w:lang w:val="fr-FR"/>
        </w:rPr>
      </w:pPr>
    </w:p>
    <w:p w14:paraId="7AA71AFE" w14:textId="77777777" w:rsidR="002C2375" w:rsidRPr="005A43D0" w:rsidRDefault="002C2375" w:rsidP="002C2375">
      <w:pPr>
        <w:pStyle w:val="ListParagraph"/>
        <w:numPr>
          <w:ilvl w:val="0"/>
          <w:numId w:val="4"/>
        </w:numPr>
        <w:spacing w:after="0" w:line="240" w:lineRule="auto"/>
        <w:ind w:left="0" w:firstLine="0"/>
        <w:jc w:val="both"/>
        <w:rPr>
          <w:b/>
          <w:bCs/>
          <w:i/>
          <w:iCs/>
          <w:sz w:val="24"/>
          <w:szCs w:val="24"/>
          <w:lang w:val="fr-FR"/>
        </w:rPr>
      </w:pPr>
      <w:r w:rsidRPr="006B7289">
        <w:rPr>
          <w:b/>
          <w:bCs/>
          <w:i/>
          <w:iCs/>
          <w:sz w:val="24"/>
          <w:szCs w:val="24"/>
          <w:lang w:val="fr-FR"/>
        </w:rPr>
        <w:t xml:space="preserve">Se félicite </w:t>
      </w:r>
      <w:r w:rsidRPr="006B7289">
        <w:rPr>
          <w:bCs/>
          <w:iCs/>
          <w:sz w:val="24"/>
          <w:szCs w:val="24"/>
          <w:lang w:val="fr-FR"/>
        </w:rPr>
        <w:t xml:space="preserve">de la proposition faite par la République algérienne démocratique et populaire d'accompagner la République du Mali et la CEDEAO sur la voie salutaire de la compréhension mutuelle, et </w:t>
      </w:r>
      <w:r w:rsidRPr="006B7289">
        <w:rPr>
          <w:b/>
          <w:bCs/>
          <w:i/>
          <w:iCs/>
          <w:sz w:val="24"/>
          <w:szCs w:val="24"/>
          <w:lang w:val="fr-FR"/>
        </w:rPr>
        <w:t>lance un appel</w:t>
      </w:r>
      <w:r w:rsidRPr="006B7289">
        <w:rPr>
          <w:bCs/>
          <w:iCs/>
          <w:sz w:val="24"/>
          <w:szCs w:val="24"/>
          <w:lang w:val="fr-FR"/>
        </w:rPr>
        <w:t xml:space="preserve"> aux Autorités de la Transition au Mali et à la </w:t>
      </w:r>
      <w:r w:rsidRPr="006B7289">
        <w:rPr>
          <w:bCs/>
          <w:iCs/>
          <w:sz w:val="24"/>
          <w:szCs w:val="24"/>
          <w:lang w:val="fr-FR"/>
        </w:rPr>
        <w:lastRenderedPageBreak/>
        <w:t>CEDEAO pour qu'elles s'engagent ensemble dans cette initiative afin de traiter les points de divergence en suspens en vue de faciliter le retour du Mali à l'ordre constitutionnel dans un délai approprié et réalisable, ne dépassant pas seize (16) m</w:t>
      </w:r>
      <w:bookmarkStart w:id="0" w:name="_GoBack"/>
      <w:bookmarkEnd w:id="0"/>
      <w:r w:rsidRPr="006B7289">
        <w:rPr>
          <w:bCs/>
          <w:iCs/>
          <w:sz w:val="24"/>
          <w:szCs w:val="24"/>
          <w:lang w:val="fr-FR"/>
        </w:rPr>
        <w:t>ois ;</w:t>
      </w:r>
    </w:p>
    <w:p w14:paraId="77C37D27" w14:textId="77777777" w:rsidR="002C2375" w:rsidRPr="005A43D0" w:rsidRDefault="002C2375" w:rsidP="002C2375">
      <w:pPr>
        <w:pStyle w:val="ListParagraph"/>
        <w:rPr>
          <w:b/>
          <w:bCs/>
          <w:i/>
          <w:iCs/>
          <w:sz w:val="24"/>
          <w:szCs w:val="24"/>
          <w:lang w:val="fr-FR"/>
        </w:rPr>
      </w:pPr>
    </w:p>
    <w:p w14:paraId="21A53D2D" w14:textId="77777777" w:rsidR="002C2375" w:rsidRPr="00991A29" w:rsidRDefault="002C2375" w:rsidP="002C2375">
      <w:pPr>
        <w:pStyle w:val="ListParagraph"/>
        <w:numPr>
          <w:ilvl w:val="0"/>
          <w:numId w:val="4"/>
        </w:numPr>
        <w:spacing w:after="0" w:line="240" w:lineRule="auto"/>
        <w:ind w:left="0" w:firstLine="0"/>
        <w:jc w:val="both"/>
        <w:rPr>
          <w:bCs/>
          <w:iCs/>
          <w:sz w:val="24"/>
          <w:szCs w:val="24"/>
          <w:lang w:val="fr-FR"/>
        </w:rPr>
      </w:pPr>
      <w:r>
        <w:rPr>
          <w:bCs/>
          <w:iCs/>
          <w:sz w:val="24"/>
          <w:szCs w:val="24"/>
          <w:lang w:val="fr-FR"/>
        </w:rPr>
        <w:t>D</w:t>
      </w:r>
      <w:r w:rsidRPr="00097FA7">
        <w:rPr>
          <w:bCs/>
          <w:iCs/>
          <w:sz w:val="24"/>
          <w:szCs w:val="24"/>
          <w:lang w:val="fr-FR"/>
        </w:rPr>
        <w:t xml:space="preserve">ans ce contexte, </w:t>
      </w:r>
      <w:r>
        <w:rPr>
          <w:b/>
          <w:bCs/>
          <w:i/>
          <w:iCs/>
          <w:sz w:val="24"/>
          <w:szCs w:val="24"/>
          <w:lang w:val="fr-FR"/>
        </w:rPr>
        <w:t xml:space="preserve">indique </w:t>
      </w:r>
      <w:r w:rsidRPr="00097FA7">
        <w:rPr>
          <w:bCs/>
          <w:iCs/>
          <w:sz w:val="24"/>
          <w:szCs w:val="24"/>
          <w:lang w:val="fr-FR"/>
        </w:rPr>
        <w:t xml:space="preserve">que la mise en œuvre des dispositions pertinentes des communiques </w:t>
      </w:r>
      <w:r w:rsidRPr="00991A29">
        <w:rPr>
          <w:bCs/>
          <w:iCs/>
          <w:sz w:val="24"/>
          <w:szCs w:val="24"/>
          <w:lang w:val="fr-FR"/>
        </w:rPr>
        <w:t xml:space="preserve">de la CEDEAO </w:t>
      </w:r>
      <w:r w:rsidRPr="00097FA7">
        <w:rPr>
          <w:bCs/>
          <w:iCs/>
          <w:sz w:val="24"/>
          <w:szCs w:val="24"/>
          <w:lang w:val="fr-FR"/>
        </w:rPr>
        <w:t>susmentionnés sera examinée par le CPS en liaison avec le résultat des efforts à déployer par l'Algérie, conformément au paragraphe</w:t>
      </w:r>
      <w:r w:rsidRPr="00991A29">
        <w:rPr>
          <w:bCs/>
          <w:iCs/>
          <w:sz w:val="24"/>
          <w:szCs w:val="24"/>
          <w:lang w:val="fr-FR"/>
        </w:rPr>
        <w:t xml:space="preserve"> 7 ci-après</w:t>
      </w:r>
      <w:r>
        <w:rPr>
          <w:bCs/>
          <w:iCs/>
          <w:sz w:val="24"/>
          <w:szCs w:val="24"/>
          <w:lang w:val="fr-FR"/>
        </w:rPr>
        <w:t> ;</w:t>
      </w:r>
    </w:p>
    <w:p w14:paraId="5B28B280" w14:textId="77777777" w:rsidR="002C2375" w:rsidRPr="006B7289" w:rsidRDefault="002C2375" w:rsidP="002C2375">
      <w:pPr>
        <w:pStyle w:val="ListParagraph"/>
        <w:spacing w:after="0" w:line="240" w:lineRule="auto"/>
        <w:ind w:left="0"/>
        <w:jc w:val="both"/>
        <w:rPr>
          <w:b/>
          <w:bCs/>
          <w:i/>
          <w:iCs/>
          <w:sz w:val="24"/>
          <w:szCs w:val="24"/>
          <w:lang w:val="fr-FR"/>
        </w:rPr>
      </w:pPr>
    </w:p>
    <w:p w14:paraId="4354B975" w14:textId="77777777" w:rsidR="002C2375" w:rsidRDefault="002C2375" w:rsidP="002C2375">
      <w:pPr>
        <w:pStyle w:val="ListParagraph"/>
        <w:numPr>
          <w:ilvl w:val="0"/>
          <w:numId w:val="4"/>
        </w:numPr>
        <w:spacing w:after="0" w:line="240" w:lineRule="auto"/>
        <w:ind w:left="0" w:firstLine="0"/>
        <w:jc w:val="both"/>
        <w:rPr>
          <w:sz w:val="24"/>
          <w:szCs w:val="24"/>
          <w:lang w:val="fr-FR"/>
        </w:rPr>
      </w:pPr>
      <w:r w:rsidRPr="005A43D0">
        <w:rPr>
          <w:rFonts w:cs="Arial"/>
          <w:sz w:val="24"/>
          <w:szCs w:val="24"/>
          <w:lang w:val="fr-FR"/>
        </w:rPr>
        <w:t>À</w:t>
      </w:r>
      <w:r w:rsidRPr="005A43D0">
        <w:rPr>
          <w:sz w:val="24"/>
          <w:szCs w:val="24"/>
          <w:lang w:val="fr-FR"/>
        </w:rPr>
        <w:t xml:space="preserve"> cet égard</w:t>
      </w:r>
      <w:r w:rsidRPr="006B7289">
        <w:rPr>
          <w:sz w:val="24"/>
          <w:szCs w:val="24"/>
          <w:lang w:val="fr-FR"/>
        </w:rPr>
        <w:t xml:space="preserve">, </w:t>
      </w:r>
      <w:r w:rsidRPr="005A43D0">
        <w:rPr>
          <w:b/>
          <w:i/>
          <w:sz w:val="24"/>
          <w:szCs w:val="24"/>
          <w:lang w:val="fr-FR"/>
        </w:rPr>
        <w:t>réitère</w:t>
      </w:r>
      <w:r w:rsidRPr="006B7289">
        <w:rPr>
          <w:sz w:val="24"/>
          <w:szCs w:val="24"/>
          <w:lang w:val="fr-FR"/>
        </w:rPr>
        <w:t xml:space="preserve"> sa ferme condamnation de toute forme de changement anticonstitutionnel de gouvernement conformément aux cadres normatifs cardinaux de l'UA, y compris la Déclaration de Lomé sur les changements anticonstitutionnels de gouvernement en Afrique (2000), la Charte africaine de la démocratie, des élections et de la gouvernance, et </w:t>
      </w:r>
      <w:r w:rsidRPr="006B7289">
        <w:rPr>
          <w:b/>
          <w:i/>
          <w:sz w:val="24"/>
          <w:szCs w:val="24"/>
          <w:lang w:val="fr-FR"/>
        </w:rPr>
        <w:t xml:space="preserve">réaffirme </w:t>
      </w:r>
      <w:r w:rsidRPr="006B7289">
        <w:rPr>
          <w:sz w:val="24"/>
          <w:szCs w:val="24"/>
          <w:lang w:val="fr-FR"/>
        </w:rPr>
        <w:t>l'urgence pour les autorités maliennes de transition d'avancer rapidement vers le retour à la dispensation démocratique ;</w:t>
      </w:r>
    </w:p>
    <w:p w14:paraId="245B98FE" w14:textId="77777777" w:rsidR="002C2375" w:rsidRPr="006B7289" w:rsidRDefault="002C2375" w:rsidP="002C2375">
      <w:pPr>
        <w:pStyle w:val="ListParagraph"/>
        <w:spacing w:after="0" w:line="240" w:lineRule="auto"/>
        <w:ind w:left="0"/>
        <w:jc w:val="both"/>
        <w:rPr>
          <w:sz w:val="24"/>
          <w:szCs w:val="24"/>
          <w:lang w:val="fr-FR"/>
        </w:rPr>
      </w:pPr>
    </w:p>
    <w:p w14:paraId="690919CB" w14:textId="77777777" w:rsidR="002C2375" w:rsidRPr="006B7289" w:rsidRDefault="002C2375" w:rsidP="002C2375">
      <w:pPr>
        <w:pStyle w:val="ListParagraph"/>
        <w:numPr>
          <w:ilvl w:val="0"/>
          <w:numId w:val="4"/>
        </w:numPr>
        <w:spacing w:after="0" w:line="240" w:lineRule="auto"/>
        <w:ind w:left="0" w:firstLine="0"/>
        <w:jc w:val="both"/>
        <w:rPr>
          <w:sz w:val="24"/>
          <w:szCs w:val="24"/>
          <w:lang w:val="fr-FR"/>
        </w:rPr>
      </w:pPr>
      <w:r w:rsidRPr="006B7289">
        <w:rPr>
          <w:b/>
          <w:bCs/>
          <w:i/>
          <w:iCs/>
          <w:sz w:val="24"/>
          <w:szCs w:val="24"/>
          <w:lang w:val="fr-FR"/>
        </w:rPr>
        <w:t xml:space="preserve">Exprime sa grave préoccupation </w:t>
      </w:r>
      <w:r w:rsidRPr="006B7289">
        <w:rPr>
          <w:bCs/>
          <w:iCs/>
          <w:sz w:val="24"/>
          <w:szCs w:val="24"/>
          <w:lang w:val="fr-FR"/>
        </w:rPr>
        <w:t xml:space="preserve">face à la détérioration de la situation sécuritaire et à l'absence d'autorité de l'État dans le centre du Mali et </w:t>
      </w:r>
      <w:r w:rsidRPr="006B7289">
        <w:rPr>
          <w:b/>
          <w:bCs/>
          <w:i/>
          <w:iCs/>
          <w:sz w:val="24"/>
          <w:szCs w:val="24"/>
          <w:lang w:val="fr-FR"/>
        </w:rPr>
        <w:t>appelle</w:t>
      </w:r>
      <w:r w:rsidRPr="006B7289">
        <w:rPr>
          <w:bCs/>
          <w:iCs/>
          <w:sz w:val="24"/>
          <w:szCs w:val="24"/>
          <w:lang w:val="fr-FR"/>
        </w:rPr>
        <w:t xml:space="preserve"> tous les acteurs à assurer le rétablissement de la sécurité et de la stabilité dans la région ; </w:t>
      </w:r>
      <w:r w:rsidRPr="006B7289">
        <w:rPr>
          <w:b/>
          <w:bCs/>
          <w:i/>
          <w:iCs/>
          <w:sz w:val="24"/>
          <w:szCs w:val="24"/>
          <w:lang w:val="fr-FR"/>
        </w:rPr>
        <w:t>prend note</w:t>
      </w:r>
      <w:r w:rsidRPr="006B7289">
        <w:rPr>
          <w:bCs/>
          <w:iCs/>
          <w:sz w:val="24"/>
          <w:szCs w:val="24"/>
          <w:lang w:val="fr-FR"/>
        </w:rPr>
        <w:t xml:space="preserve"> de la réunion du Comité de suivi de la mise en œuvre de l'Accord de paix</w:t>
      </w:r>
      <w:r>
        <w:rPr>
          <w:bCs/>
          <w:iCs/>
          <w:sz w:val="24"/>
          <w:szCs w:val="24"/>
          <w:lang w:val="fr-FR"/>
        </w:rPr>
        <w:t xml:space="preserve"> </w:t>
      </w:r>
      <w:r w:rsidRPr="00213C80">
        <w:rPr>
          <w:bCs/>
          <w:iCs/>
          <w:sz w:val="24"/>
          <w:szCs w:val="24"/>
          <w:lang w:val="fr-FR"/>
        </w:rPr>
        <w:t xml:space="preserve">et de réconciliation pour le </w:t>
      </w:r>
      <w:r>
        <w:rPr>
          <w:bCs/>
          <w:iCs/>
          <w:sz w:val="24"/>
          <w:szCs w:val="24"/>
          <w:lang w:val="fr-FR"/>
        </w:rPr>
        <w:t>Mali, issu du processus d'Alger, en</w:t>
      </w:r>
      <w:r w:rsidRPr="006B7289">
        <w:rPr>
          <w:bCs/>
          <w:iCs/>
          <w:sz w:val="24"/>
          <w:szCs w:val="24"/>
          <w:lang w:val="fr-FR"/>
        </w:rPr>
        <w:t xml:space="preserve"> 2015 et </w:t>
      </w:r>
      <w:r w:rsidRPr="00213C80">
        <w:rPr>
          <w:b/>
          <w:bCs/>
          <w:i/>
          <w:iCs/>
          <w:sz w:val="24"/>
          <w:szCs w:val="24"/>
          <w:lang w:val="fr-FR"/>
        </w:rPr>
        <w:t>réitère</w:t>
      </w:r>
      <w:r w:rsidRPr="006B7289">
        <w:rPr>
          <w:bCs/>
          <w:iCs/>
          <w:sz w:val="24"/>
          <w:szCs w:val="24"/>
          <w:lang w:val="fr-FR"/>
        </w:rPr>
        <w:t xml:space="preserve"> la nécessité de tenir une réunion de prise de décision entre les signataires maliens, afin de permettre des progrès globaux, notamment sur le désarmement, la démobilisation et la réintégration, sur la base de l'offre concrète du gouvernement d'intégrer 26 000 combattants dans les deux à trois prochaines années ;</w:t>
      </w:r>
    </w:p>
    <w:p w14:paraId="1D2F7291" w14:textId="77777777" w:rsidR="002C2375" w:rsidRPr="006B7289" w:rsidRDefault="002C2375" w:rsidP="002C2375">
      <w:pPr>
        <w:pStyle w:val="ListParagraph"/>
        <w:spacing w:after="0" w:line="240" w:lineRule="auto"/>
        <w:ind w:left="0"/>
        <w:jc w:val="both"/>
        <w:rPr>
          <w:sz w:val="24"/>
          <w:szCs w:val="24"/>
          <w:lang w:val="fr-FR"/>
        </w:rPr>
      </w:pPr>
    </w:p>
    <w:p w14:paraId="404AD4C8" w14:textId="77777777" w:rsidR="002C2375" w:rsidRDefault="002C2375" w:rsidP="002C2375">
      <w:pPr>
        <w:pStyle w:val="ListParagraph"/>
        <w:numPr>
          <w:ilvl w:val="0"/>
          <w:numId w:val="4"/>
        </w:numPr>
        <w:spacing w:after="0" w:line="240" w:lineRule="auto"/>
        <w:ind w:left="0" w:firstLine="0"/>
        <w:jc w:val="both"/>
        <w:rPr>
          <w:sz w:val="24"/>
          <w:szCs w:val="24"/>
          <w:lang w:val="fr-FR"/>
        </w:rPr>
      </w:pPr>
      <w:r w:rsidRPr="006B7289">
        <w:rPr>
          <w:b/>
          <w:i/>
          <w:sz w:val="24"/>
          <w:szCs w:val="24"/>
          <w:lang w:val="fr-FR"/>
        </w:rPr>
        <w:t xml:space="preserve">Exprime sa profonde </w:t>
      </w:r>
      <w:r w:rsidRPr="006B7289">
        <w:rPr>
          <w:sz w:val="24"/>
          <w:szCs w:val="24"/>
          <w:lang w:val="fr-FR"/>
        </w:rPr>
        <w:t xml:space="preserve">inquiétude face à l'augmentation des violations des droits de l'homme et à l'absence de mécanismes efficaces de protection des civils, y compris des femmes et des enfants, et </w:t>
      </w:r>
      <w:r w:rsidRPr="006B7289">
        <w:rPr>
          <w:b/>
          <w:i/>
          <w:sz w:val="24"/>
          <w:szCs w:val="24"/>
          <w:lang w:val="fr-FR"/>
        </w:rPr>
        <w:t xml:space="preserve">demande instamment </w:t>
      </w:r>
      <w:r w:rsidRPr="006B7289">
        <w:rPr>
          <w:sz w:val="24"/>
          <w:szCs w:val="24"/>
          <w:lang w:val="fr-FR"/>
        </w:rPr>
        <w:t xml:space="preserve">au </w:t>
      </w:r>
      <w:r>
        <w:rPr>
          <w:sz w:val="24"/>
          <w:szCs w:val="24"/>
          <w:lang w:val="fr-FR"/>
        </w:rPr>
        <w:t>G</w:t>
      </w:r>
      <w:r w:rsidRPr="006B7289">
        <w:rPr>
          <w:sz w:val="24"/>
          <w:szCs w:val="24"/>
          <w:lang w:val="fr-FR"/>
        </w:rPr>
        <w:t>ouvernement de mettre en place des mécanismes fiables et efficaces pour assurer la protection des civils, en particulier dans les régions ;</w:t>
      </w:r>
    </w:p>
    <w:p w14:paraId="11D1C7AA" w14:textId="77777777" w:rsidR="002C2375" w:rsidRPr="006B7289" w:rsidRDefault="002C2375" w:rsidP="002C2375">
      <w:pPr>
        <w:pStyle w:val="ListParagraph"/>
        <w:spacing w:after="0" w:line="240" w:lineRule="auto"/>
        <w:ind w:left="0"/>
        <w:jc w:val="both"/>
        <w:rPr>
          <w:sz w:val="24"/>
          <w:szCs w:val="24"/>
          <w:lang w:val="fr-FR"/>
        </w:rPr>
      </w:pPr>
    </w:p>
    <w:p w14:paraId="37E5716A" w14:textId="77777777" w:rsidR="002C2375" w:rsidRPr="006B7289" w:rsidRDefault="002C2375" w:rsidP="002C2375">
      <w:pPr>
        <w:pStyle w:val="ListParagraph"/>
        <w:numPr>
          <w:ilvl w:val="0"/>
          <w:numId w:val="4"/>
        </w:numPr>
        <w:spacing w:after="0" w:line="240" w:lineRule="auto"/>
        <w:ind w:left="0" w:firstLine="0"/>
        <w:jc w:val="both"/>
        <w:rPr>
          <w:sz w:val="24"/>
          <w:szCs w:val="24"/>
          <w:lang w:val="fr-FR"/>
        </w:rPr>
      </w:pPr>
      <w:r w:rsidRPr="006B7289">
        <w:rPr>
          <w:sz w:val="24"/>
          <w:szCs w:val="24"/>
          <w:lang w:val="fr-FR"/>
        </w:rPr>
        <w:t xml:space="preserve"> </w:t>
      </w:r>
      <w:r w:rsidRPr="006B7289">
        <w:rPr>
          <w:b/>
          <w:bCs/>
          <w:i/>
          <w:iCs/>
          <w:sz w:val="24"/>
          <w:szCs w:val="24"/>
          <w:lang w:val="fr-FR"/>
        </w:rPr>
        <w:t xml:space="preserve">Condamne </w:t>
      </w:r>
      <w:r w:rsidRPr="006B7289">
        <w:rPr>
          <w:bCs/>
          <w:iCs/>
          <w:sz w:val="24"/>
          <w:szCs w:val="24"/>
          <w:lang w:val="fr-FR"/>
        </w:rPr>
        <w:t xml:space="preserve">la poursuite de l'arrestation et de l'emprisonnement illégal de personnalités politiques et d'anciens dirigeants maliens par les autorités de transition et </w:t>
      </w:r>
      <w:r w:rsidRPr="006B7289">
        <w:rPr>
          <w:b/>
          <w:bCs/>
          <w:i/>
          <w:iCs/>
          <w:sz w:val="24"/>
          <w:szCs w:val="24"/>
          <w:lang w:val="fr-FR"/>
        </w:rPr>
        <w:t xml:space="preserve">exige </w:t>
      </w:r>
      <w:r w:rsidRPr="006B7289">
        <w:rPr>
          <w:bCs/>
          <w:iCs/>
          <w:sz w:val="24"/>
          <w:szCs w:val="24"/>
          <w:lang w:val="fr-FR"/>
        </w:rPr>
        <w:t>leur libération inconditionnelle, la protection de leurs droits humains inaliénables et, chaque fois que cela est nécessaire, la mise en place d'un processus judiciaire pour ceux qui sont accusés de délits conformément aux lois du pays ;</w:t>
      </w:r>
    </w:p>
    <w:p w14:paraId="783CD33C" w14:textId="77777777" w:rsidR="002C2375" w:rsidRPr="006B7289" w:rsidRDefault="002C2375" w:rsidP="002C2375">
      <w:pPr>
        <w:pStyle w:val="ListParagraph"/>
        <w:spacing w:after="0" w:line="240" w:lineRule="auto"/>
        <w:ind w:left="0"/>
        <w:jc w:val="both"/>
        <w:rPr>
          <w:sz w:val="24"/>
          <w:szCs w:val="24"/>
          <w:lang w:val="fr-FR"/>
        </w:rPr>
      </w:pPr>
    </w:p>
    <w:p w14:paraId="50809BEF" w14:textId="77777777" w:rsidR="002C2375" w:rsidRDefault="002C2375" w:rsidP="002C2375">
      <w:pPr>
        <w:pStyle w:val="ListParagraph"/>
        <w:numPr>
          <w:ilvl w:val="0"/>
          <w:numId w:val="4"/>
        </w:numPr>
        <w:spacing w:after="0" w:line="240" w:lineRule="auto"/>
        <w:ind w:left="0" w:firstLine="0"/>
        <w:jc w:val="both"/>
        <w:rPr>
          <w:sz w:val="24"/>
          <w:szCs w:val="24"/>
          <w:lang w:val="fr-FR"/>
        </w:rPr>
      </w:pPr>
      <w:r w:rsidRPr="006B7289">
        <w:rPr>
          <w:b/>
          <w:i/>
          <w:sz w:val="24"/>
          <w:szCs w:val="24"/>
          <w:lang w:val="fr-FR"/>
        </w:rPr>
        <w:t xml:space="preserve">Demande </w:t>
      </w:r>
      <w:r w:rsidRPr="006B7289">
        <w:rPr>
          <w:sz w:val="24"/>
          <w:szCs w:val="24"/>
          <w:lang w:val="fr-FR"/>
        </w:rPr>
        <w:t xml:space="preserve">au Président de la Commission de s'engager rapidement et directement avec les autorités maliennes de transition et toutes les parties prenantes, y compris la CEDEAO, en vue de finaliser un calendrier électoral plus pratique qui sera acceptable pour toutes les parties prenantes maliennes et qui aboutira à un retour rapide à un gouvernement dirigé par des civils ; </w:t>
      </w:r>
      <w:r w:rsidRPr="006B7289">
        <w:rPr>
          <w:b/>
          <w:i/>
          <w:sz w:val="24"/>
          <w:szCs w:val="24"/>
          <w:lang w:val="fr-FR"/>
        </w:rPr>
        <w:t>demande également</w:t>
      </w:r>
      <w:r w:rsidRPr="006B7289">
        <w:rPr>
          <w:sz w:val="24"/>
          <w:szCs w:val="24"/>
          <w:lang w:val="fr-FR"/>
        </w:rPr>
        <w:t xml:space="preserve"> à la Commission de l'UA de mener immédiatement des consultations entre les pays voisins directs du Mali et de présenter ensuite un rapport sur les résultats des consultations ; </w:t>
      </w:r>
      <w:r w:rsidRPr="006B7289">
        <w:rPr>
          <w:b/>
          <w:i/>
          <w:sz w:val="24"/>
          <w:szCs w:val="24"/>
          <w:lang w:val="fr-FR"/>
        </w:rPr>
        <w:t>demande en outre</w:t>
      </w:r>
      <w:r w:rsidRPr="006B7289">
        <w:rPr>
          <w:sz w:val="24"/>
          <w:szCs w:val="24"/>
          <w:lang w:val="fr-FR"/>
        </w:rPr>
        <w:t xml:space="preserve"> au Président de la Commission de déployer une mission d'évaluation technique pour s'engager avec les autorités de transition en vue d'identifier les domaines qui nécessitent un soutien afin d'accélérer la restauration rapide de l'ordre constitutionnel ;</w:t>
      </w:r>
    </w:p>
    <w:p w14:paraId="70EAF278" w14:textId="77777777" w:rsidR="002C2375" w:rsidRPr="006B7289" w:rsidRDefault="002C2375" w:rsidP="002C2375">
      <w:pPr>
        <w:pStyle w:val="ListParagraph"/>
        <w:spacing w:after="0" w:line="240" w:lineRule="auto"/>
        <w:ind w:left="0"/>
        <w:jc w:val="both"/>
        <w:rPr>
          <w:sz w:val="24"/>
          <w:szCs w:val="24"/>
          <w:lang w:val="fr-FR"/>
        </w:rPr>
      </w:pPr>
    </w:p>
    <w:p w14:paraId="0064CCD9" w14:textId="77777777" w:rsidR="002C2375" w:rsidRDefault="002C2375" w:rsidP="002C2375">
      <w:pPr>
        <w:pStyle w:val="ListParagraph"/>
        <w:numPr>
          <w:ilvl w:val="0"/>
          <w:numId w:val="4"/>
        </w:numPr>
        <w:spacing w:after="0" w:line="240" w:lineRule="auto"/>
        <w:ind w:left="0" w:firstLine="0"/>
        <w:jc w:val="both"/>
        <w:rPr>
          <w:sz w:val="24"/>
          <w:szCs w:val="24"/>
          <w:lang w:val="fr-FR"/>
        </w:rPr>
      </w:pPr>
      <w:r w:rsidRPr="0088095D">
        <w:rPr>
          <w:b/>
          <w:i/>
          <w:sz w:val="24"/>
          <w:szCs w:val="24"/>
          <w:lang w:val="fr-FR"/>
        </w:rPr>
        <w:lastRenderedPageBreak/>
        <w:t xml:space="preserve">Félicite </w:t>
      </w:r>
      <w:r w:rsidRPr="0088095D">
        <w:rPr>
          <w:sz w:val="24"/>
          <w:szCs w:val="24"/>
          <w:lang w:val="fr-FR"/>
        </w:rPr>
        <w:t xml:space="preserve">la Mission multidimensionnelle de stabilisation des Nations unies au Mali (MINUSMA), et </w:t>
      </w:r>
      <w:r w:rsidRPr="0088095D">
        <w:rPr>
          <w:b/>
          <w:i/>
          <w:sz w:val="24"/>
          <w:szCs w:val="24"/>
          <w:lang w:val="fr-FR"/>
        </w:rPr>
        <w:t>rend hommage</w:t>
      </w:r>
      <w:r w:rsidRPr="0088095D">
        <w:rPr>
          <w:sz w:val="24"/>
          <w:szCs w:val="24"/>
          <w:lang w:val="fr-FR"/>
        </w:rPr>
        <w:t xml:space="preserve"> aux soldats de la paix qui ont perdu la vie en promouvant la paix, la sécurité et la stabilité au Mali, </w:t>
      </w:r>
      <w:r w:rsidRPr="0088095D">
        <w:rPr>
          <w:b/>
          <w:i/>
          <w:sz w:val="24"/>
          <w:szCs w:val="24"/>
          <w:lang w:val="fr-FR"/>
        </w:rPr>
        <w:t>tout en réitérant</w:t>
      </w:r>
      <w:r w:rsidRPr="0088095D">
        <w:rPr>
          <w:sz w:val="24"/>
          <w:szCs w:val="24"/>
          <w:lang w:val="fr-FR"/>
        </w:rPr>
        <w:t xml:space="preserve"> la volonté de l'UA de collaborer activement avec l'ONU pour maintenir la paix, la stabilité et la sécurité au Mali ;</w:t>
      </w:r>
    </w:p>
    <w:p w14:paraId="36135FFF" w14:textId="77777777" w:rsidR="002C2375" w:rsidRPr="0088095D" w:rsidRDefault="002C2375" w:rsidP="002C2375">
      <w:pPr>
        <w:pStyle w:val="ListParagraph"/>
        <w:spacing w:after="0" w:line="240" w:lineRule="auto"/>
        <w:ind w:left="0"/>
        <w:jc w:val="both"/>
        <w:rPr>
          <w:sz w:val="24"/>
          <w:szCs w:val="24"/>
          <w:lang w:val="fr-FR"/>
        </w:rPr>
      </w:pPr>
    </w:p>
    <w:p w14:paraId="20569833" w14:textId="77777777" w:rsidR="002C2375" w:rsidRPr="0088095D" w:rsidRDefault="002C2375" w:rsidP="002C2375">
      <w:pPr>
        <w:pStyle w:val="ListParagraph"/>
        <w:numPr>
          <w:ilvl w:val="0"/>
          <w:numId w:val="4"/>
        </w:numPr>
        <w:spacing w:after="0" w:line="240" w:lineRule="auto"/>
        <w:ind w:left="0" w:firstLine="0"/>
        <w:jc w:val="both"/>
        <w:rPr>
          <w:sz w:val="24"/>
          <w:szCs w:val="24"/>
          <w:lang w:val="fr-FR"/>
        </w:rPr>
      </w:pPr>
      <w:r w:rsidRPr="0088095D">
        <w:rPr>
          <w:sz w:val="24"/>
          <w:szCs w:val="24"/>
          <w:lang w:val="fr-FR"/>
        </w:rPr>
        <w:t xml:space="preserve"> </w:t>
      </w:r>
      <w:r w:rsidRPr="0088095D">
        <w:rPr>
          <w:b/>
          <w:bCs/>
          <w:i/>
          <w:sz w:val="24"/>
          <w:szCs w:val="24"/>
          <w:lang w:val="fr-FR"/>
        </w:rPr>
        <w:t>Exhorte</w:t>
      </w:r>
      <w:r w:rsidRPr="0088095D">
        <w:rPr>
          <w:b/>
          <w:bCs/>
          <w:sz w:val="24"/>
          <w:szCs w:val="24"/>
          <w:lang w:val="fr-FR"/>
        </w:rPr>
        <w:t xml:space="preserve"> </w:t>
      </w:r>
      <w:r w:rsidRPr="00213C80">
        <w:rPr>
          <w:bCs/>
          <w:sz w:val="24"/>
          <w:szCs w:val="24"/>
          <w:lang w:val="fr-FR"/>
        </w:rPr>
        <w:t xml:space="preserve">le Conseil de sécurité des Nations unies à soutenir </w:t>
      </w:r>
      <w:r>
        <w:rPr>
          <w:bCs/>
          <w:sz w:val="24"/>
          <w:szCs w:val="24"/>
          <w:lang w:val="fr-FR"/>
        </w:rPr>
        <w:t xml:space="preserve">également </w:t>
      </w:r>
      <w:r w:rsidRPr="00213C80">
        <w:rPr>
          <w:bCs/>
          <w:sz w:val="24"/>
          <w:szCs w:val="24"/>
          <w:lang w:val="fr-FR"/>
        </w:rPr>
        <w:t xml:space="preserve">la mise en œuvre </w:t>
      </w:r>
      <w:r>
        <w:rPr>
          <w:bCs/>
          <w:sz w:val="24"/>
          <w:szCs w:val="24"/>
          <w:lang w:val="fr-FR"/>
        </w:rPr>
        <w:t>d</w:t>
      </w:r>
      <w:r w:rsidRPr="00213C80">
        <w:rPr>
          <w:bCs/>
          <w:sz w:val="24"/>
          <w:szCs w:val="24"/>
          <w:lang w:val="fr-FR"/>
        </w:rPr>
        <w:t>es décisions du sommet de la CEDEAO et à veiller à ce que ses institutions s'y conforment,</w:t>
      </w:r>
      <w:r w:rsidRPr="00213C80">
        <w:rPr>
          <w:b/>
          <w:bCs/>
          <w:sz w:val="24"/>
          <w:szCs w:val="24"/>
          <w:lang w:val="fr-FR"/>
        </w:rPr>
        <w:t xml:space="preserve"> et appelle, en outre </w:t>
      </w:r>
      <w:r w:rsidRPr="00213C80">
        <w:rPr>
          <w:bCs/>
          <w:sz w:val="24"/>
          <w:szCs w:val="24"/>
          <w:lang w:val="fr-FR"/>
        </w:rPr>
        <w:t xml:space="preserve">tous les États membres de l'UA à </w:t>
      </w:r>
      <w:r>
        <w:rPr>
          <w:bCs/>
          <w:sz w:val="24"/>
          <w:szCs w:val="24"/>
          <w:lang w:val="fr-FR"/>
        </w:rPr>
        <w:t xml:space="preserve">les efforts de la CEDEAO </w:t>
      </w:r>
      <w:r w:rsidRPr="00213C80">
        <w:rPr>
          <w:bCs/>
          <w:sz w:val="24"/>
          <w:szCs w:val="24"/>
          <w:lang w:val="fr-FR"/>
        </w:rPr>
        <w:t>jusqu'à</w:t>
      </w:r>
      <w:r w:rsidRPr="0088095D">
        <w:rPr>
          <w:bCs/>
          <w:sz w:val="24"/>
          <w:szCs w:val="24"/>
          <w:lang w:val="fr-FR"/>
        </w:rPr>
        <w:t xml:space="preserve"> la restauration de l'ordre constitutionnel au Mali</w:t>
      </w:r>
      <w:r w:rsidRPr="0088095D">
        <w:rPr>
          <w:b/>
          <w:bCs/>
          <w:sz w:val="24"/>
          <w:szCs w:val="24"/>
          <w:lang w:val="fr-FR"/>
        </w:rPr>
        <w:t xml:space="preserve"> ;</w:t>
      </w:r>
    </w:p>
    <w:p w14:paraId="3519A73B" w14:textId="77777777" w:rsidR="002C2375" w:rsidRPr="0088095D" w:rsidRDefault="002C2375" w:rsidP="002C2375">
      <w:pPr>
        <w:pStyle w:val="ListParagraph"/>
        <w:rPr>
          <w:sz w:val="24"/>
          <w:szCs w:val="24"/>
          <w:lang w:val="fr-FR"/>
        </w:rPr>
      </w:pPr>
    </w:p>
    <w:p w14:paraId="4B1F8833" w14:textId="04094F2F" w:rsidR="00490E13" w:rsidRPr="002C2375" w:rsidRDefault="002C2375" w:rsidP="002C2375">
      <w:pPr>
        <w:pStyle w:val="ListParagraph"/>
        <w:numPr>
          <w:ilvl w:val="0"/>
          <w:numId w:val="4"/>
        </w:numPr>
        <w:spacing w:after="0" w:line="240" w:lineRule="auto"/>
        <w:ind w:left="0" w:firstLine="0"/>
        <w:jc w:val="both"/>
        <w:rPr>
          <w:sz w:val="24"/>
          <w:szCs w:val="24"/>
          <w:lang w:val="fr-FR"/>
        </w:rPr>
      </w:pPr>
      <w:r w:rsidRPr="0088095D">
        <w:rPr>
          <w:b/>
          <w:i/>
          <w:sz w:val="24"/>
          <w:szCs w:val="24"/>
          <w:lang w:val="fr-FR"/>
        </w:rPr>
        <w:t xml:space="preserve">Décide </w:t>
      </w:r>
      <w:r>
        <w:rPr>
          <w:sz w:val="24"/>
          <w:szCs w:val="24"/>
          <w:lang w:val="fr-FR"/>
        </w:rPr>
        <w:t>de demeurer activement saisi de la question.</w:t>
      </w:r>
    </w:p>
    <w:sectPr w:rsidR="00490E13" w:rsidRPr="002C2375" w:rsidSect="00F415EC">
      <w:headerReference w:type="even" r:id="rId12"/>
      <w:headerReference w:type="default" r:id="rId13"/>
      <w:footerReference w:type="even" r:id="rId14"/>
      <w:footerReference w:type="default" r:id="rId15"/>
      <w:pgSz w:w="11906" w:h="16838" w:code="9"/>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A179CB" w14:textId="77777777" w:rsidR="00415D53" w:rsidRDefault="00415D53" w:rsidP="003F165D">
      <w:pPr>
        <w:spacing w:after="0" w:line="240" w:lineRule="auto"/>
      </w:pPr>
      <w:r>
        <w:separator/>
      </w:r>
    </w:p>
  </w:endnote>
  <w:endnote w:type="continuationSeparator" w:id="0">
    <w:p w14:paraId="6875F256" w14:textId="77777777" w:rsidR="00415D53" w:rsidRDefault="00415D53" w:rsidP="003F1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FF0000"/>
        <w:sz w:val="20"/>
        <w:szCs w:val="20"/>
      </w:rPr>
      <w:id w:val="-426031946"/>
      <w:docPartObj>
        <w:docPartGallery w:val="Page Numbers (Bottom of Page)"/>
        <w:docPartUnique/>
      </w:docPartObj>
    </w:sdtPr>
    <w:sdtEndPr/>
    <w:sdtContent>
      <w:sdt>
        <w:sdtPr>
          <w:rPr>
            <w:color w:val="FF0000"/>
            <w:sz w:val="20"/>
            <w:szCs w:val="20"/>
          </w:rPr>
          <w:id w:val="-1769616900"/>
          <w:docPartObj>
            <w:docPartGallery w:val="Page Numbers (Top of Page)"/>
            <w:docPartUnique/>
          </w:docPartObj>
        </w:sdtPr>
        <w:sdtEndPr/>
        <w:sdtContent>
          <w:p w14:paraId="2E51FD25" w14:textId="7F0BAC10" w:rsidR="00D63D7E" w:rsidRPr="000177B0" w:rsidRDefault="000177B0" w:rsidP="000177B0">
            <w:pPr>
              <w:pStyle w:val="Header"/>
              <w:jc w:val="right"/>
              <w:rPr>
                <w:b/>
                <w:bCs/>
                <w:color w:val="FF0000"/>
                <w:sz w:val="20"/>
                <w:szCs w:val="20"/>
              </w:rPr>
            </w:pPr>
            <w:r w:rsidRPr="000177B0">
              <w:rPr>
                <w:b/>
                <w:bCs/>
                <w:color w:val="FF0000"/>
                <w:sz w:val="20"/>
                <w:szCs w:val="20"/>
              </w:rPr>
              <w:t>PSC/PR/COMM.1/1057 (2022)</w:t>
            </w:r>
          </w:p>
        </w:sdtContent>
      </w:sdt>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451401795"/>
      <w:docPartObj>
        <w:docPartGallery w:val="Page Numbers (Bottom of Page)"/>
        <w:docPartUnique/>
      </w:docPartObj>
    </w:sdtPr>
    <w:sdtEndPr/>
    <w:sdtContent>
      <w:sdt>
        <w:sdtPr>
          <w:rPr>
            <w:sz w:val="20"/>
            <w:szCs w:val="20"/>
          </w:rPr>
          <w:id w:val="-1705238520"/>
          <w:docPartObj>
            <w:docPartGallery w:val="Page Numbers (Top of Page)"/>
            <w:docPartUnique/>
          </w:docPartObj>
        </w:sdtPr>
        <w:sdtEndPr/>
        <w:sdtContent>
          <w:p w14:paraId="5FAA158B" w14:textId="0E66604C" w:rsidR="00503C85" w:rsidRPr="00F908C9" w:rsidRDefault="000177B0" w:rsidP="000177B0">
            <w:pPr>
              <w:pStyle w:val="Footer"/>
              <w:rPr>
                <w:sz w:val="20"/>
                <w:szCs w:val="20"/>
              </w:rPr>
            </w:pPr>
            <w:r w:rsidRPr="00DB59B1">
              <w:rPr>
                <w:b/>
                <w:bCs/>
                <w:color w:val="FF0000"/>
                <w:sz w:val="20"/>
                <w:szCs w:val="20"/>
              </w:rPr>
              <w:t>PSC/PR/COMM.1/1057 (2022)</w:t>
            </w:r>
          </w:p>
        </w:sdtContent>
      </w:sdt>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3E87B2" w14:textId="77777777" w:rsidR="00415D53" w:rsidRDefault="00415D53" w:rsidP="003F165D">
      <w:pPr>
        <w:spacing w:after="0" w:line="240" w:lineRule="auto"/>
      </w:pPr>
      <w:r>
        <w:separator/>
      </w:r>
    </w:p>
  </w:footnote>
  <w:footnote w:type="continuationSeparator" w:id="0">
    <w:p w14:paraId="51BF119C" w14:textId="77777777" w:rsidR="00415D53" w:rsidRDefault="00415D53" w:rsidP="003F16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1318336367"/>
      <w:docPartObj>
        <w:docPartGallery w:val="Page Numbers (Top of Page)"/>
        <w:docPartUnique/>
      </w:docPartObj>
    </w:sdtPr>
    <w:sdtContent>
      <w:p w14:paraId="2D19BF1D" w14:textId="3EB2BBFC" w:rsidR="000177B0" w:rsidRPr="000177B0" w:rsidRDefault="000177B0">
        <w:pPr>
          <w:pStyle w:val="Header"/>
          <w:jc w:val="right"/>
          <w:rPr>
            <w:sz w:val="20"/>
            <w:szCs w:val="20"/>
          </w:rPr>
        </w:pPr>
        <w:r w:rsidRPr="000177B0">
          <w:rPr>
            <w:sz w:val="20"/>
            <w:szCs w:val="20"/>
          </w:rPr>
          <w:t xml:space="preserve">Page </w:t>
        </w:r>
        <w:r w:rsidRPr="000177B0">
          <w:rPr>
            <w:b/>
            <w:bCs/>
            <w:sz w:val="20"/>
            <w:szCs w:val="20"/>
          </w:rPr>
          <w:fldChar w:fldCharType="begin"/>
        </w:r>
        <w:r w:rsidRPr="000177B0">
          <w:rPr>
            <w:b/>
            <w:bCs/>
            <w:sz w:val="20"/>
            <w:szCs w:val="20"/>
          </w:rPr>
          <w:instrText xml:space="preserve"> PAGE </w:instrText>
        </w:r>
        <w:r w:rsidRPr="000177B0">
          <w:rPr>
            <w:b/>
            <w:bCs/>
            <w:sz w:val="20"/>
            <w:szCs w:val="20"/>
          </w:rPr>
          <w:fldChar w:fldCharType="separate"/>
        </w:r>
        <w:r>
          <w:rPr>
            <w:b/>
            <w:bCs/>
            <w:noProof/>
            <w:sz w:val="20"/>
            <w:szCs w:val="20"/>
          </w:rPr>
          <w:t>4</w:t>
        </w:r>
        <w:r w:rsidRPr="000177B0">
          <w:rPr>
            <w:b/>
            <w:bCs/>
            <w:sz w:val="20"/>
            <w:szCs w:val="20"/>
          </w:rPr>
          <w:fldChar w:fldCharType="end"/>
        </w:r>
        <w:r w:rsidRPr="000177B0">
          <w:rPr>
            <w:sz w:val="20"/>
            <w:szCs w:val="20"/>
          </w:rPr>
          <w:t xml:space="preserve"> of </w:t>
        </w:r>
        <w:r w:rsidRPr="000177B0">
          <w:rPr>
            <w:b/>
            <w:bCs/>
            <w:sz w:val="20"/>
            <w:szCs w:val="20"/>
          </w:rPr>
          <w:fldChar w:fldCharType="begin"/>
        </w:r>
        <w:r w:rsidRPr="000177B0">
          <w:rPr>
            <w:b/>
            <w:bCs/>
            <w:sz w:val="20"/>
            <w:szCs w:val="20"/>
          </w:rPr>
          <w:instrText xml:space="preserve"> NUMPAGES  </w:instrText>
        </w:r>
        <w:r w:rsidRPr="000177B0">
          <w:rPr>
            <w:b/>
            <w:bCs/>
            <w:sz w:val="20"/>
            <w:szCs w:val="20"/>
          </w:rPr>
          <w:fldChar w:fldCharType="separate"/>
        </w:r>
        <w:r>
          <w:rPr>
            <w:b/>
            <w:bCs/>
            <w:noProof/>
            <w:sz w:val="20"/>
            <w:szCs w:val="20"/>
          </w:rPr>
          <w:t>4</w:t>
        </w:r>
        <w:r w:rsidRPr="000177B0">
          <w:rPr>
            <w:b/>
            <w:bCs/>
            <w:sz w:val="20"/>
            <w:szCs w:val="20"/>
          </w:rPr>
          <w:fldChar w:fldCharType="end"/>
        </w:r>
      </w:p>
    </w:sdtContent>
  </w:sdt>
  <w:p w14:paraId="4A5B8842" w14:textId="2AFC5370" w:rsidR="0053251C" w:rsidRPr="00CC381F" w:rsidRDefault="0053251C" w:rsidP="0053251C">
    <w:pPr>
      <w:pStyle w:val="Header"/>
      <w:jc w:val="right"/>
      <w:rPr>
        <w:b/>
        <w:bCs/>
        <w:sz w:val="20"/>
        <w:szCs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98381352"/>
      <w:docPartObj>
        <w:docPartGallery w:val="Page Numbers (Top of Page)"/>
        <w:docPartUnique/>
      </w:docPartObj>
    </w:sdtPr>
    <w:sdtContent>
      <w:p w14:paraId="2D2518D7" w14:textId="60ED3FF8" w:rsidR="000177B0" w:rsidRPr="000177B0" w:rsidRDefault="000177B0">
        <w:pPr>
          <w:pStyle w:val="Header"/>
          <w:rPr>
            <w:sz w:val="20"/>
            <w:szCs w:val="20"/>
          </w:rPr>
        </w:pPr>
        <w:r w:rsidRPr="000177B0">
          <w:rPr>
            <w:sz w:val="20"/>
            <w:szCs w:val="20"/>
          </w:rPr>
          <w:t xml:space="preserve">Page </w:t>
        </w:r>
        <w:r w:rsidRPr="000177B0">
          <w:rPr>
            <w:b/>
            <w:bCs/>
            <w:sz w:val="20"/>
            <w:szCs w:val="20"/>
          </w:rPr>
          <w:fldChar w:fldCharType="begin"/>
        </w:r>
        <w:r w:rsidRPr="000177B0">
          <w:rPr>
            <w:b/>
            <w:bCs/>
            <w:sz w:val="20"/>
            <w:szCs w:val="20"/>
          </w:rPr>
          <w:instrText xml:space="preserve"> PAGE </w:instrText>
        </w:r>
        <w:r w:rsidRPr="000177B0">
          <w:rPr>
            <w:b/>
            <w:bCs/>
            <w:sz w:val="20"/>
            <w:szCs w:val="20"/>
          </w:rPr>
          <w:fldChar w:fldCharType="separate"/>
        </w:r>
        <w:r>
          <w:rPr>
            <w:b/>
            <w:bCs/>
            <w:noProof/>
            <w:sz w:val="20"/>
            <w:szCs w:val="20"/>
          </w:rPr>
          <w:t>3</w:t>
        </w:r>
        <w:r w:rsidRPr="000177B0">
          <w:rPr>
            <w:b/>
            <w:bCs/>
            <w:sz w:val="20"/>
            <w:szCs w:val="20"/>
          </w:rPr>
          <w:fldChar w:fldCharType="end"/>
        </w:r>
        <w:r w:rsidRPr="000177B0">
          <w:rPr>
            <w:sz w:val="20"/>
            <w:szCs w:val="20"/>
          </w:rPr>
          <w:t xml:space="preserve"> of </w:t>
        </w:r>
        <w:r w:rsidRPr="000177B0">
          <w:rPr>
            <w:b/>
            <w:bCs/>
            <w:sz w:val="20"/>
            <w:szCs w:val="20"/>
          </w:rPr>
          <w:fldChar w:fldCharType="begin"/>
        </w:r>
        <w:r w:rsidRPr="000177B0">
          <w:rPr>
            <w:b/>
            <w:bCs/>
            <w:sz w:val="20"/>
            <w:szCs w:val="20"/>
          </w:rPr>
          <w:instrText xml:space="preserve"> NUMPAGES  </w:instrText>
        </w:r>
        <w:r w:rsidRPr="000177B0">
          <w:rPr>
            <w:b/>
            <w:bCs/>
            <w:sz w:val="20"/>
            <w:szCs w:val="20"/>
          </w:rPr>
          <w:fldChar w:fldCharType="separate"/>
        </w:r>
        <w:r>
          <w:rPr>
            <w:b/>
            <w:bCs/>
            <w:noProof/>
            <w:sz w:val="20"/>
            <w:szCs w:val="20"/>
          </w:rPr>
          <w:t>4</w:t>
        </w:r>
        <w:r w:rsidRPr="000177B0">
          <w:rPr>
            <w:b/>
            <w:bCs/>
            <w:sz w:val="20"/>
            <w:szCs w:val="20"/>
          </w:rPr>
          <w:fldChar w:fldCharType="end"/>
        </w:r>
      </w:p>
    </w:sdtContent>
  </w:sdt>
  <w:p w14:paraId="1E22B778" w14:textId="7F7E58E4" w:rsidR="00CC054F" w:rsidRPr="00DB59B1" w:rsidRDefault="00CC054F" w:rsidP="00C80424">
    <w:pPr>
      <w:pStyle w:val="Header"/>
      <w:jc w:val="right"/>
      <w:rPr>
        <w:b/>
        <w:bCs/>
        <w:color w:val="FF0000"/>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477DB0"/>
    <w:multiLevelType w:val="hybridMultilevel"/>
    <w:tmpl w:val="BF6622DE"/>
    <w:lvl w:ilvl="0" w:tplc="1098F18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B57D14"/>
    <w:multiLevelType w:val="hybridMultilevel"/>
    <w:tmpl w:val="BF6622DE"/>
    <w:lvl w:ilvl="0" w:tplc="1098F18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F756216"/>
    <w:multiLevelType w:val="hybridMultilevel"/>
    <w:tmpl w:val="4308D5F6"/>
    <w:lvl w:ilvl="0" w:tplc="58EE0CF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2EC6110"/>
    <w:multiLevelType w:val="hybridMultilevel"/>
    <w:tmpl w:val="67EEAFE2"/>
    <w:lvl w:ilvl="0" w:tplc="0B201C48">
      <w:start w:val="1"/>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B280E93"/>
    <w:multiLevelType w:val="hybridMultilevel"/>
    <w:tmpl w:val="333AC0EA"/>
    <w:lvl w:ilvl="0" w:tplc="6876FC16">
      <w:start w:val="1"/>
      <w:numFmt w:val="decimal"/>
      <w:lvlText w:val="%1."/>
      <w:lvlJc w:val="left"/>
      <w:pPr>
        <w:ind w:left="720" w:hanging="360"/>
      </w:pPr>
      <w:rPr>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0E13"/>
    <w:rsid w:val="00002246"/>
    <w:rsid w:val="00002FC6"/>
    <w:rsid w:val="000177B0"/>
    <w:rsid w:val="00020391"/>
    <w:rsid w:val="00023229"/>
    <w:rsid w:val="0003461B"/>
    <w:rsid w:val="00042C81"/>
    <w:rsid w:val="00064E24"/>
    <w:rsid w:val="000E3675"/>
    <w:rsid w:val="00101DC6"/>
    <w:rsid w:val="0010463B"/>
    <w:rsid w:val="00161337"/>
    <w:rsid w:val="00163292"/>
    <w:rsid w:val="00165A81"/>
    <w:rsid w:val="0016699F"/>
    <w:rsid w:val="0018697E"/>
    <w:rsid w:val="001A6982"/>
    <w:rsid w:val="001C0ECD"/>
    <w:rsid w:val="001E1113"/>
    <w:rsid w:val="00224960"/>
    <w:rsid w:val="00242960"/>
    <w:rsid w:val="002444DB"/>
    <w:rsid w:val="00247633"/>
    <w:rsid w:val="00285FCA"/>
    <w:rsid w:val="00291025"/>
    <w:rsid w:val="00292C52"/>
    <w:rsid w:val="002A3A75"/>
    <w:rsid w:val="002B20EC"/>
    <w:rsid w:val="002C2375"/>
    <w:rsid w:val="002E70F4"/>
    <w:rsid w:val="003072D3"/>
    <w:rsid w:val="00321AE9"/>
    <w:rsid w:val="00325B50"/>
    <w:rsid w:val="003275A2"/>
    <w:rsid w:val="00333C77"/>
    <w:rsid w:val="00346A56"/>
    <w:rsid w:val="00347E04"/>
    <w:rsid w:val="0036367F"/>
    <w:rsid w:val="00391220"/>
    <w:rsid w:val="003A20B9"/>
    <w:rsid w:val="003C4008"/>
    <w:rsid w:val="003C49BB"/>
    <w:rsid w:val="003D2738"/>
    <w:rsid w:val="003F165D"/>
    <w:rsid w:val="003F19D1"/>
    <w:rsid w:val="003F6AAE"/>
    <w:rsid w:val="0040239B"/>
    <w:rsid w:val="00412842"/>
    <w:rsid w:val="00415D53"/>
    <w:rsid w:val="004254F0"/>
    <w:rsid w:val="00425589"/>
    <w:rsid w:val="004275A2"/>
    <w:rsid w:val="00436959"/>
    <w:rsid w:val="00472022"/>
    <w:rsid w:val="00490E13"/>
    <w:rsid w:val="0049435E"/>
    <w:rsid w:val="004A2689"/>
    <w:rsid w:val="004A45F2"/>
    <w:rsid w:val="004F4056"/>
    <w:rsid w:val="00503B48"/>
    <w:rsid w:val="00503C85"/>
    <w:rsid w:val="0053251C"/>
    <w:rsid w:val="00541AF1"/>
    <w:rsid w:val="005917CF"/>
    <w:rsid w:val="005D32AF"/>
    <w:rsid w:val="005E0472"/>
    <w:rsid w:val="006174AA"/>
    <w:rsid w:val="00620BAB"/>
    <w:rsid w:val="00657C3E"/>
    <w:rsid w:val="006A00B4"/>
    <w:rsid w:val="006A3A69"/>
    <w:rsid w:val="006C3E7D"/>
    <w:rsid w:val="006D35A4"/>
    <w:rsid w:val="006E7165"/>
    <w:rsid w:val="007148C1"/>
    <w:rsid w:val="007210AE"/>
    <w:rsid w:val="007273BD"/>
    <w:rsid w:val="007B7872"/>
    <w:rsid w:val="007C25E2"/>
    <w:rsid w:val="007E3699"/>
    <w:rsid w:val="007E5D1E"/>
    <w:rsid w:val="00800C64"/>
    <w:rsid w:val="00810454"/>
    <w:rsid w:val="00816C19"/>
    <w:rsid w:val="00845D8C"/>
    <w:rsid w:val="008469BA"/>
    <w:rsid w:val="008605AB"/>
    <w:rsid w:val="00860864"/>
    <w:rsid w:val="008667EC"/>
    <w:rsid w:val="00886106"/>
    <w:rsid w:val="00896637"/>
    <w:rsid w:val="008A2888"/>
    <w:rsid w:val="008A5C6D"/>
    <w:rsid w:val="008C256F"/>
    <w:rsid w:val="008D0C8A"/>
    <w:rsid w:val="008D5F7F"/>
    <w:rsid w:val="00925A3E"/>
    <w:rsid w:val="00925F1D"/>
    <w:rsid w:val="0094739B"/>
    <w:rsid w:val="0097326F"/>
    <w:rsid w:val="009772E0"/>
    <w:rsid w:val="00982EF1"/>
    <w:rsid w:val="00995AF0"/>
    <w:rsid w:val="009D2649"/>
    <w:rsid w:val="009E12AD"/>
    <w:rsid w:val="009E34A2"/>
    <w:rsid w:val="009E6F0E"/>
    <w:rsid w:val="00A60782"/>
    <w:rsid w:val="00A920E4"/>
    <w:rsid w:val="00AE098B"/>
    <w:rsid w:val="00AE2099"/>
    <w:rsid w:val="00B05773"/>
    <w:rsid w:val="00B23A0E"/>
    <w:rsid w:val="00B37972"/>
    <w:rsid w:val="00B46DB3"/>
    <w:rsid w:val="00B6389C"/>
    <w:rsid w:val="00B82791"/>
    <w:rsid w:val="00BA5F35"/>
    <w:rsid w:val="00BF1B19"/>
    <w:rsid w:val="00C20042"/>
    <w:rsid w:val="00C7272B"/>
    <w:rsid w:val="00C80424"/>
    <w:rsid w:val="00C85DA5"/>
    <w:rsid w:val="00C906E7"/>
    <w:rsid w:val="00C9456B"/>
    <w:rsid w:val="00CC054F"/>
    <w:rsid w:val="00CC2B4E"/>
    <w:rsid w:val="00CC2D13"/>
    <w:rsid w:val="00CC381F"/>
    <w:rsid w:val="00CE28A4"/>
    <w:rsid w:val="00CF2187"/>
    <w:rsid w:val="00D002AC"/>
    <w:rsid w:val="00D153ED"/>
    <w:rsid w:val="00D63D7E"/>
    <w:rsid w:val="00D70F6E"/>
    <w:rsid w:val="00D935EC"/>
    <w:rsid w:val="00D96FF0"/>
    <w:rsid w:val="00DB539C"/>
    <w:rsid w:val="00DB59B1"/>
    <w:rsid w:val="00DC37E8"/>
    <w:rsid w:val="00DD1E84"/>
    <w:rsid w:val="00DE39D7"/>
    <w:rsid w:val="00DE60B6"/>
    <w:rsid w:val="00E06A8E"/>
    <w:rsid w:val="00E2154D"/>
    <w:rsid w:val="00E332B9"/>
    <w:rsid w:val="00E46A50"/>
    <w:rsid w:val="00E52FD7"/>
    <w:rsid w:val="00E63EE2"/>
    <w:rsid w:val="00E814AC"/>
    <w:rsid w:val="00E972D0"/>
    <w:rsid w:val="00EA3093"/>
    <w:rsid w:val="00EC17BE"/>
    <w:rsid w:val="00EC6BF3"/>
    <w:rsid w:val="00F25373"/>
    <w:rsid w:val="00F415EC"/>
    <w:rsid w:val="00F44DC4"/>
    <w:rsid w:val="00F62C34"/>
    <w:rsid w:val="00F73FAB"/>
    <w:rsid w:val="00F75C97"/>
    <w:rsid w:val="00F9114F"/>
    <w:rsid w:val="00FA3117"/>
    <w:rsid w:val="00FB1B6F"/>
    <w:rsid w:val="00FB7B6B"/>
    <w:rsid w:val="00FE1428"/>
    <w:rsid w:val="00FE46D0"/>
    <w:rsid w:val="00FF4C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997185"/>
  <w15:chartTrackingRefBased/>
  <w15:docId w15:val="{08E96154-2B86-44AF-936B-169B2C4BD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0E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906E7"/>
    <w:pPr>
      <w:ind w:left="720"/>
      <w:contextualSpacing/>
    </w:pPr>
  </w:style>
  <w:style w:type="paragraph" w:styleId="Header">
    <w:name w:val="header"/>
    <w:basedOn w:val="Normal"/>
    <w:link w:val="HeaderChar"/>
    <w:uiPriority w:val="99"/>
    <w:unhideWhenUsed/>
    <w:rsid w:val="003F16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165D"/>
  </w:style>
  <w:style w:type="paragraph" w:styleId="Footer">
    <w:name w:val="footer"/>
    <w:basedOn w:val="Normal"/>
    <w:link w:val="FooterChar"/>
    <w:uiPriority w:val="99"/>
    <w:unhideWhenUsed/>
    <w:rsid w:val="003F16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165D"/>
  </w:style>
  <w:style w:type="paragraph" w:styleId="BalloonText">
    <w:name w:val="Balloon Text"/>
    <w:basedOn w:val="Normal"/>
    <w:link w:val="BalloonTextChar"/>
    <w:uiPriority w:val="99"/>
    <w:semiHidden/>
    <w:unhideWhenUsed/>
    <w:rsid w:val="00C200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0042"/>
    <w:rPr>
      <w:rFonts w:ascii="Segoe UI" w:hAnsi="Segoe UI" w:cs="Segoe UI"/>
      <w:sz w:val="18"/>
      <w:szCs w:val="18"/>
    </w:rPr>
  </w:style>
  <w:style w:type="character" w:styleId="Hyperlink">
    <w:name w:val="Hyperlink"/>
    <w:basedOn w:val="DefaultParagraphFont"/>
    <w:uiPriority w:val="99"/>
    <w:unhideWhenUsed/>
    <w:rsid w:val="00620BAB"/>
    <w:rPr>
      <w:color w:val="0563C1" w:themeColor="hyperlink"/>
      <w:u w:val="single"/>
    </w:rPr>
  </w:style>
  <w:style w:type="paragraph" w:styleId="NoSpacing">
    <w:name w:val="No Spacing"/>
    <w:link w:val="NoSpacingChar"/>
    <w:uiPriority w:val="1"/>
    <w:qFormat/>
    <w:rsid w:val="00002FC6"/>
    <w:pPr>
      <w:spacing w:after="0" w:line="240" w:lineRule="auto"/>
    </w:pPr>
    <w:rPr>
      <w:rFonts w:eastAsiaTheme="minorEastAsia"/>
    </w:rPr>
  </w:style>
  <w:style w:type="character" w:customStyle="1" w:styleId="NoSpacingChar">
    <w:name w:val="No Spacing Char"/>
    <w:basedOn w:val="DefaultParagraphFont"/>
    <w:link w:val="NoSpacing"/>
    <w:uiPriority w:val="1"/>
    <w:rsid w:val="00002FC6"/>
    <w:rPr>
      <w:rFonts w:eastAsiaTheme="minorEastAsia"/>
    </w:rPr>
  </w:style>
  <w:style w:type="character" w:styleId="FollowedHyperlink">
    <w:name w:val="FollowedHyperlink"/>
    <w:basedOn w:val="DefaultParagraphFont"/>
    <w:uiPriority w:val="99"/>
    <w:semiHidden/>
    <w:unhideWhenUsed/>
    <w:rsid w:val="00165A81"/>
    <w:rPr>
      <w:color w:val="954F72" w:themeColor="followedHyperlink"/>
      <w:u w:val="single"/>
    </w:rPr>
  </w:style>
  <w:style w:type="character" w:styleId="CommentReference">
    <w:name w:val="annotation reference"/>
    <w:basedOn w:val="DefaultParagraphFont"/>
    <w:uiPriority w:val="99"/>
    <w:semiHidden/>
    <w:unhideWhenUsed/>
    <w:rsid w:val="0036367F"/>
    <w:rPr>
      <w:sz w:val="16"/>
      <w:szCs w:val="16"/>
    </w:rPr>
  </w:style>
  <w:style w:type="paragraph" w:styleId="CommentText">
    <w:name w:val="annotation text"/>
    <w:basedOn w:val="Normal"/>
    <w:link w:val="CommentTextChar"/>
    <w:uiPriority w:val="99"/>
    <w:semiHidden/>
    <w:unhideWhenUsed/>
    <w:rsid w:val="0036367F"/>
    <w:pPr>
      <w:spacing w:line="240" w:lineRule="auto"/>
    </w:pPr>
    <w:rPr>
      <w:sz w:val="20"/>
      <w:szCs w:val="20"/>
    </w:rPr>
  </w:style>
  <w:style w:type="character" w:customStyle="1" w:styleId="CommentTextChar">
    <w:name w:val="Comment Text Char"/>
    <w:basedOn w:val="DefaultParagraphFont"/>
    <w:link w:val="CommentText"/>
    <w:uiPriority w:val="99"/>
    <w:semiHidden/>
    <w:rsid w:val="0036367F"/>
    <w:rPr>
      <w:sz w:val="20"/>
      <w:szCs w:val="20"/>
    </w:rPr>
  </w:style>
  <w:style w:type="paragraph" w:styleId="CommentSubject">
    <w:name w:val="annotation subject"/>
    <w:basedOn w:val="CommentText"/>
    <w:next w:val="CommentText"/>
    <w:link w:val="CommentSubjectChar"/>
    <w:uiPriority w:val="99"/>
    <w:semiHidden/>
    <w:unhideWhenUsed/>
    <w:rsid w:val="0036367F"/>
    <w:rPr>
      <w:b/>
      <w:bCs/>
    </w:rPr>
  </w:style>
  <w:style w:type="character" w:customStyle="1" w:styleId="CommentSubjectChar">
    <w:name w:val="Comment Subject Char"/>
    <w:basedOn w:val="CommentTextChar"/>
    <w:link w:val="CommentSubject"/>
    <w:uiPriority w:val="99"/>
    <w:semiHidden/>
    <w:rsid w:val="0036367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76514">
      <w:bodyDiv w:val="1"/>
      <w:marLeft w:val="0"/>
      <w:marRight w:val="0"/>
      <w:marTop w:val="0"/>
      <w:marBottom w:val="0"/>
      <w:divBdr>
        <w:top w:val="none" w:sz="0" w:space="0" w:color="auto"/>
        <w:left w:val="none" w:sz="0" w:space="0" w:color="auto"/>
        <w:bottom w:val="none" w:sz="0" w:space="0" w:color="auto"/>
        <w:right w:val="none" w:sz="0" w:space="0" w:color="auto"/>
      </w:divBdr>
    </w:div>
    <w:div w:id="299651072">
      <w:bodyDiv w:val="1"/>
      <w:marLeft w:val="0"/>
      <w:marRight w:val="0"/>
      <w:marTop w:val="0"/>
      <w:marBottom w:val="0"/>
      <w:divBdr>
        <w:top w:val="none" w:sz="0" w:space="0" w:color="auto"/>
        <w:left w:val="none" w:sz="0" w:space="0" w:color="auto"/>
        <w:bottom w:val="none" w:sz="0" w:space="0" w:color="auto"/>
        <w:right w:val="none" w:sz="0" w:space="0" w:color="auto"/>
      </w:divBdr>
    </w:div>
    <w:div w:id="527913042">
      <w:bodyDiv w:val="1"/>
      <w:marLeft w:val="0"/>
      <w:marRight w:val="0"/>
      <w:marTop w:val="0"/>
      <w:marBottom w:val="0"/>
      <w:divBdr>
        <w:top w:val="none" w:sz="0" w:space="0" w:color="auto"/>
        <w:left w:val="none" w:sz="0" w:space="0" w:color="auto"/>
        <w:bottom w:val="none" w:sz="0" w:space="0" w:color="auto"/>
        <w:right w:val="none" w:sz="0" w:space="0" w:color="auto"/>
      </w:divBdr>
    </w:div>
    <w:div w:id="1212837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apsrepository.africa-union.org/handle/123456789/1406"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papsrepository.africa-union.org/handle/123456789/151" TargetMode="External"/><Relationship Id="rId4" Type="http://schemas.openxmlformats.org/officeDocument/2006/relationships/settings" Target="settings.xml"/><Relationship Id="rId9" Type="http://schemas.openxmlformats.org/officeDocument/2006/relationships/hyperlink" Target="https://papsrepository.africa-union.org/handle/123456789/653"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E3BE78-F468-4B1E-9D83-789517A717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5</Pages>
  <Words>1557</Words>
  <Characters>8879</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Mayah Ngalla</dc:creator>
  <cp:keywords/>
  <dc:description/>
  <cp:lastModifiedBy>Terence Odongo</cp:lastModifiedBy>
  <cp:revision>22</cp:revision>
  <cp:lastPrinted>2022-03-04T04:14:00Z</cp:lastPrinted>
  <dcterms:created xsi:type="dcterms:W3CDTF">2022-02-26T15:18:00Z</dcterms:created>
  <dcterms:modified xsi:type="dcterms:W3CDTF">2022-03-05T12:13:00Z</dcterms:modified>
</cp:coreProperties>
</file>