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C1744" w14:textId="77777777" w:rsidR="00607D66" w:rsidRDefault="00607D66" w:rsidP="00607D66">
      <w:pPr>
        <w:spacing w:after="0"/>
      </w:pPr>
      <w:r>
        <w:rPr>
          <w:noProof/>
        </w:rPr>
        <w:drawing>
          <wp:inline distT="0" distB="0" distL="0" distR="0" wp14:anchorId="4568CFDB" wp14:editId="60FACF1C">
            <wp:extent cx="5669280" cy="1000760"/>
            <wp:effectExtent l="0" t="0" r="7620" b="889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8"/>
                    <a:srcRect l="31353" t="27146" r="31120" b="61077"/>
                    <a:stretch/>
                  </pic:blipFill>
                  <pic:spPr bwMode="auto">
                    <a:xfrm>
                      <a:off x="0" y="0"/>
                      <a:ext cx="5669280" cy="1000760"/>
                    </a:xfrm>
                    <a:prstGeom prst="rect">
                      <a:avLst/>
                    </a:prstGeom>
                    <a:ln>
                      <a:noFill/>
                    </a:ln>
                    <a:extLst>
                      <a:ext uri="{53640926-AAD7-44D8-BBD7-CCE9431645EC}">
                        <a14:shadowObscured xmlns:a14="http://schemas.microsoft.com/office/drawing/2010/main"/>
                      </a:ext>
                    </a:extLst>
                  </pic:spPr>
                </pic:pic>
              </a:graphicData>
            </a:graphic>
          </wp:inline>
        </w:drawing>
      </w:r>
    </w:p>
    <w:sdt>
      <w:sdtPr>
        <w:id w:val="656816674"/>
        <w:docPartObj>
          <w:docPartGallery w:val="Cover Pages"/>
          <w:docPartUnique/>
        </w:docPartObj>
      </w:sdtPr>
      <w:sdtEndPr>
        <w:rPr>
          <w:rFonts w:ascii="Calibri" w:eastAsia="Calibri" w:hAnsi="Calibri" w:cs="Calibri"/>
          <w:b/>
          <w:bCs/>
          <w:sz w:val="24"/>
          <w:szCs w:val="24"/>
          <w:lang w:val="fr-FR"/>
        </w:rPr>
      </w:sdtEndPr>
      <w:sdtContent>
        <w:p w14:paraId="15FF98F8" w14:textId="2C899F59" w:rsidR="00EE4D73" w:rsidRDefault="00EE4D73" w:rsidP="00607D66">
          <w:pPr>
            <w:spacing w:after="0"/>
            <w:rPr>
              <w:noProof/>
            </w:rPr>
          </w:pPr>
        </w:p>
        <w:p w14:paraId="099C1439" w14:textId="77777777" w:rsidR="00EE4D73" w:rsidRPr="0088095D" w:rsidRDefault="00EE4D73" w:rsidP="00EE4D73">
          <w:pPr>
            <w:spacing w:after="0" w:line="240" w:lineRule="auto"/>
            <w:jc w:val="both"/>
            <w:rPr>
              <w:rFonts w:ascii="Calibri" w:eastAsia="Calibri" w:hAnsi="Calibri" w:cs="Calibri"/>
              <w:b/>
              <w:sz w:val="24"/>
              <w:szCs w:val="24"/>
              <w:lang w:val="fr-FR"/>
            </w:rPr>
          </w:pPr>
          <w:r>
            <w:rPr>
              <w:rFonts w:ascii="Calibri" w:eastAsia="Calibri" w:hAnsi="Calibri" w:cs="Calibri"/>
              <w:b/>
              <w:sz w:val="24"/>
              <w:szCs w:val="24"/>
              <w:lang w:val="fr-FR"/>
            </w:rPr>
            <w:t>CONSE</w:t>
          </w:r>
          <w:r w:rsidRPr="0088095D">
            <w:rPr>
              <w:rFonts w:ascii="Calibri" w:eastAsia="Calibri" w:hAnsi="Calibri" w:cs="Calibri"/>
              <w:b/>
              <w:sz w:val="24"/>
              <w:szCs w:val="24"/>
              <w:lang w:val="fr-FR"/>
            </w:rPr>
            <w:t>IL DE PAIX ET DE S</w:t>
          </w:r>
          <w:r w:rsidRPr="0088095D">
            <w:rPr>
              <w:rFonts w:ascii="Calibri" w:eastAsia="Calibri" w:hAnsi="Calibri" w:cs="Calibri"/>
              <w:b/>
              <w:bCs/>
              <w:sz w:val="24"/>
              <w:szCs w:val="24"/>
              <w:lang w:val="fr-FR"/>
            </w:rPr>
            <w:t>É</w:t>
          </w:r>
          <w:r w:rsidRPr="0088095D">
            <w:rPr>
              <w:rFonts w:ascii="Calibri" w:eastAsia="Calibri" w:hAnsi="Calibri" w:cs="Calibri"/>
              <w:b/>
              <w:sz w:val="24"/>
              <w:szCs w:val="24"/>
              <w:lang w:val="fr-FR"/>
            </w:rPr>
            <w:t>CURIT</w:t>
          </w:r>
          <w:r w:rsidRPr="0088095D">
            <w:rPr>
              <w:rFonts w:ascii="Calibri" w:eastAsia="Calibri" w:hAnsi="Calibri" w:cs="Calibri"/>
              <w:b/>
              <w:bCs/>
              <w:sz w:val="24"/>
              <w:szCs w:val="24"/>
              <w:lang w:val="fr-FR"/>
            </w:rPr>
            <w:t>É</w:t>
          </w:r>
          <w:r w:rsidRPr="0088095D">
            <w:rPr>
              <w:rFonts w:ascii="Calibri" w:eastAsia="Calibri" w:hAnsi="Calibri" w:cs="Calibri"/>
              <w:b/>
              <w:sz w:val="24"/>
              <w:szCs w:val="24"/>
              <w:lang w:val="fr-FR"/>
            </w:rPr>
            <w:t xml:space="preserve"> </w:t>
          </w:r>
        </w:p>
        <w:p w14:paraId="43C0960A" w14:textId="77777777" w:rsidR="00EE4D73" w:rsidRPr="0088095D" w:rsidRDefault="00EE4D73" w:rsidP="00EE4D73">
          <w:pPr>
            <w:tabs>
              <w:tab w:val="left" w:pos="6735"/>
            </w:tabs>
            <w:spacing w:after="0" w:line="240" w:lineRule="auto"/>
            <w:jc w:val="both"/>
            <w:rPr>
              <w:rFonts w:ascii="Calibri" w:eastAsia="Calibri" w:hAnsi="Calibri" w:cs="Calibri"/>
              <w:b/>
              <w:sz w:val="24"/>
              <w:szCs w:val="24"/>
              <w:lang w:val="fr-FR"/>
            </w:rPr>
          </w:pPr>
          <w:r>
            <w:rPr>
              <w:rFonts w:ascii="Calibri" w:eastAsia="Calibri" w:hAnsi="Calibri" w:cs="Calibri"/>
              <w:b/>
              <w:color w:val="FF0000"/>
              <w:sz w:val="24"/>
              <w:szCs w:val="24"/>
              <w:lang w:val="fr-FR"/>
            </w:rPr>
            <w:t>1029</w:t>
          </w:r>
          <w:r w:rsidRPr="00A01298">
            <w:rPr>
              <w:b/>
              <w:color w:val="FF0000"/>
              <w:sz w:val="24"/>
              <w:szCs w:val="24"/>
              <w:vertAlign w:val="superscript"/>
              <w:lang w:val="fr-FR"/>
            </w:rPr>
            <w:t>È</w:t>
          </w:r>
          <w:r w:rsidRPr="00C15481">
            <w:rPr>
              <w:rFonts w:ascii="Calibri" w:eastAsia="Calibri" w:hAnsi="Calibri" w:cs="Calibri"/>
              <w:b/>
              <w:color w:val="FF0000"/>
              <w:sz w:val="24"/>
              <w:szCs w:val="24"/>
              <w:vertAlign w:val="superscript"/>
              <w:lang w:val="fr-FR"/>
            </w:rPr>
            <w:t>M</w:t>
          </w:r>
          <w:r w:rsidRPr="00A01298">
            <w:rPr>
              <w:b/>
              <w:color w:val="FF0000"/>
              <w:sz w:val="24"/>
              <w:szCs w:val="24"/>
              <w:vertAlign w:val="superscript"/>
              <w:lang w:val="fr-FR"/>
            </w:rPr>
            <w:t>E</w:t>
          </w:r>
          <w:r w:rsidRPr="00C15481">
            <w:rPr>
              <w:rFonts w:ascii="Calibri" w:eastAsia="Calibri" w:hAnsi="Calibri" w:cs="Calibri"/>
              <w:b/>
              <w:color w:val="FF0000"/>
              <w:sz w:val="24"/>
              <w:szCs w:val="24"/>
              <w:lang w:val="fr-FR"/>
            </w:rPr>
            <w:t xml:space="preserve"> </w:t>
          </w:r>
          <w:r w:rsidRPr="003079E4">
            <w:rPr>
              <w:rFonts w:ascii="Calibri" w:eastAsia="Calibri" w:hAnsi="Calibri" w:cs="Calibri"/>
              <w:b/>
              <w:sz w:val="24"/>
              <w:szCs w:val="24"/>
              <w:lang w:val="fr-FR"/>
            </w:rPr>
            <w:t>R</w:t>
          </w:r>
          <w:r w:rsidRPr="003079E4">
            <w:rPr>
              <w:rFonts w:ascii="Calibri" w:eastAsia="Calibri" w:hAnsi="Calibri" w:cs="Calibri"/>
              <w:b/>
              <w:bCs/>
              <w:sz w:val="24"/>
              <w:szCs w:val="24"/>
              <w:lang w:val="fr-FR"/>
            </w:rPr>
            <w:t>É</w:t>
          </w:r>
          <w:r w:rsidRPr="003079E4">
            <w:rPr>
              <w:rFonts w:ascii="Calibri" w:eastAsia="Calibri" w:hAnsi="Calibri" w:cs="Calibri"/>
              <w:b/>
              <w:sz w:val="24"/>
              <w:szCs w:val="24"/>
              <w:lang w:val="fr-FR"/>
            </w:rPr>
            <w:t>UNION</w:t>
          </w:r>
          <w:r>
            <w:rPr>
              <w:rFonts w:ascii="Calibri" w:eastAsia="Calibri" w:hAnsi="Calibri" w:cs="Calibri"/>
              <w:b/>
              <w:sz w:val="24"/>
              <w:szCs w:val="24"/>
              <w:lang w:val="fr-FR"/>
            </w:rPr>
            <w:tab/>
          </w:r>
        </w:p>
        <w:p w14:paraId="4E48D479" w14:textId="77777777" w:rsidR="00EE4D73" w:rsidRPr="0088095D" w:rsidRDefault="00EE4D73" w:rsidP="00EE4D73">
          <w:pPr>
            <w:spacing w:after="0" w:line="240" w:lineRule="auto"/>
            <w:jc w:val="both"/>
            <w:rPr>
              <w:rFonts w:ascii="Calibri" w:eastAsia="Calibri" w:hAnsi="Calibri" w:cs="Calibri"/>
              <w:b/>
              <w:sz w:val="24"/>
              <w:szCs w:val="24"/>
              <w:lang w:val="fr-FR"/>
            </w:rPr>
          </w:pPr>
        </w:p>
        <w:p w14:paraId="5B0C13CD" w14:textId="77777777" w:rsidR="00EE4D73" w:rsidRDefault="00EE4D73" w:rsidP="00EE4D73">
          <w:pPr>
            <w:tabs>
              <w:tab w:val="left" w:pos="5280"/>
            </w:tabs>
            <w:spacing w:after="0" w:line="240" w:lineRule="auto"/>
            <w:jc w:val="both"/>
            <w:rPr>
              <w:rFonts w:ascii="Calibri" w:eastAsia="Calibri" w:hAnsi="Calibri" w:cs="Calibri"/>
              <w:b/>
              <w:sz w:val="24"/>
              <w:szCs w:val="24"/>
              <w:lang w:val="fr-FR"/>
            </w:rPr>
          </w:pPr>
          <w:r>
            <w:rPr>
              <w:rFonts w:ascii="Calibri" w:eastAsia="Calibri" w:hAnsi="Calibri" w:cs="Calibri"/>
              <w:b/>
              <w:color w:val="FF0000"/>
              <w:sz w:val="24"/>
              <w:szCs w:val="24"/>
              <w:lang w:val="fr-FR"/>
            </w:rPr>
            <w:t>8 SEPTEMBER</w:t>
          </w:r>
          <w:r w:rsidRPr="00C15481">
            <w:rPr>
              <w:rFonts w:ascii="Calibri" w:eastAsia="Calibri" w:hAnsi="Calibri" w:cs="Calibri"/>
              <w:b/>
              <w:color w:val="FF0000"/>
              <w:sz w:val="24"/>
              <w:szCs w:val="24"/>
              <w:lang w:val="fr-FR"/>
            </w:rPr>
            <w:t xml:space="preserve"> 202</w:t>
          </w:r>
          <w:r>
            <w:rPr>
              <w:rFonts w:ascii="Calibri" w:eastAsia="Calibri" w:hAnsi="Calibri" w:cs="Calibri"/>
              <w:b/>
              <w:color w:val="FF0000"/>
              <w:sz w:val="24"/>
              <w:szCs w:val="24"/>
              <w:lang w:val="fr-FR"/>
            </w:rPr>
            <w:t>1</w:t>
          </w:r>
          <w:r>
            <w:rPr>
              <w:rFonts w:ascii="Calibri" w:eastAsia="Calibri" w:hAnsi="Calibri" w:cs="Calibri"/>
              <w:b/>
              <w:sz w:val="24"/>
              <w:szCs w:val="24"/>
              <w:lang w:val="fr-FR"/>
            </w:rPr>
            <w:tab/>
          </w:r>
        </w:p>
        <w:p w14:paraId="7960843F" w14:textId="77777777" w:rsidR="00EE4D73" w:rsidRPr="00C15481" w:rsidRDefault="00EE4D73" w:rsidP="00EE4D73">
          <w:pPr>
            <w:spacing w:after="0" w:line="240" w:lineRule="auto"/>
            <w:jc w:val="both"/>
            <w:rPr>
              <w:rFonts w:ascii="Calibri" w:eastAsia="Calibri" w:hAnsi="Calibri" w:cs="Calibri"/>
              <w:b/>
              <w:color w:val="FF0000"/>
              <w:sz w:val="24"/>
              <w:szCs w:val="24"/>
              <w:lang w:val="fr-FR"/>
            </w:rPr>
          </w:pPr>
          <w:r w:rsidRPr="00C15481">
            <w:rPr>
              <w:rFonts w:ascii="Calibri" w:eastAsia="Calibri" w:hAnsi="Calibri" w:cs="Calibri"/>
              <w:b/>
              <w:color w:val="FF0000"/>
              <w:sz w:val="24"/>
              <w:szCs w:val="24"/>
              <w:lang w:val="fr-FR"/>
            </w:rPr>
            <w:t>ADDIS-AB</w:t>
          </w:r>
          <w:r w:rsidRPr="00C15481">
            <w:rPr>
              <w:rFonts w:ascii="Calibri" w:eastAsia="Calibri" w:hAnsi="Calibri" w:cs="Calibri"/>
              <w:b/>
              <w:bCs/>
              <w:color w:val="FF0000"/>
              <w:sz w:val="24"/>
              <w:szCs w:val="24"/>
              <w:lang w:val="fr-FR"/>
            </w:rPr>
            <w:t>É</w:t>
          </w:r>
          <w:r w:rsidRPr="00C15481">
            <w:rPr>
              <w:rFonts w:ascii="Calibri" w:eastAsia="Calibri" w:hAnsi="Calibri" w:cs="Calibri"/>
              <w:b/>
              <w:color w:val="FF0000"/>
              <w:sz w:val="24"/>
              <w:szCs w:val="24"/>
              <w:lang w:val="fr-FR"/>
            </w:rPr>
            <w:t xml:space="preserve">BA, </w:t>
          </w:r>
          <w:r w:rsidRPr="00C15481">
            <w:rPr>
              <w:rFonts w:ascii="Calibri" w:eastAsia="Calibri" w:hAnsi="Calibri" w:cs="Calibri"/>
              <w:b/>
              <w:bCs/>
              <w:color w:val="FF0000"/>
              <w:sz w:val="24"/>
              <w:szCs w:val="24"/>
              <w:lang w:val="fr-FR"/>
            </w:rPr>
            <w:t>É</w:t>
          </w:r>
          <w:r w:rsidRPr="00C15481">
            <w:rPr>
              <w:rFonts w:ascii="Calibri" w:eastAsia="Calibri" w:hAnsi="Calibri" w:cs="Calibri"/>
              <w:b/>
              <w:color w:val="FF0000"/>
              <w:sz w:val="24"/>
              <w:szCs w:val="24"/>
              <w:lang w:val="fr-FR"/>
            </w:rPr>
            <w:t>THIOPIE</w:t>
          </w:r>
        </w:p>
        <w:p w14:paraId="06BE70DB" w14:textId="77777777" w:rsidR="00EE4D73" w:rsidRDefault="00EE4D73" w:rsidP="00EE4D73">
          <w:pPr>
            <w:spacing w:after="0" w:line="240" w:lineRule="auto"/>
            <w:ind w:left="5760"/>
            <w:jc w:val="right"/>
            <w:rPr>
              <w:rFonts w:ascii="Calibri" w:eastAsia="Calibri" w:hAnsi="Calibri" w:cs="Calibri"/>
              <w:b/>
              <w:bCs/>
              <w:sz w:val="24"/>
              <w:szCs w:val="24"/>
              <w:lang w:val="fr-FR"/>
            </w:rPr>
          </w:pPr>
        </w:p>
        <w:p w14:paraId="52FC40B9" w14:textId="77777777" w:rsidR="00EE4D73" w:rsidRDefault="00EE4D73" w:rsidP="00EE4D73">
          <w:pPr>
            <w:spacing w:after="0" w:line="240" w:lineRule="auto"/>
            <w:ind w:left="5760"/>
            <w:jc w:val="right"/>
            <w:rPr>
              <w:rFonts w:ascii="Calibri" w:eastAsia="Calibri" w:hAnsi="Calibri" w:cs="Calibri"/>
              <w:b/>
              <w:bCs/>
              <w:sz w:val="24"/>
              <w:szCs w:val="24"/>
              <w:lang w:val="fr-FR"/>
            </w:rPr>
          </w:pPr>
        </w:p>
        <w:p w14:paraId="324BD7C5" w14:textId="77777777" w:rsidR="00EE4D73" w:rsidRDefault="00EE4D73" w:rsidP="00EE4D73">
          <w:pPr>
            <w:spacing w:after="0" w:line="240" w:lineRule="auto"/>
            <w:ind w:left="5760"/>
            <w:jc w:val="right"/>
            <w:rPr>
              <w:rFonts w:ascii="Calibri" w:eastAsia="Calibri" w:hAnsi="Calibri" w:cs="Calibri"/>
              <w:b/>
              <w:bCs/>
              <w:sz w:val="24"/>
              <w:szCs w:val="24"/>
              <w:lang w:val="fr-FR"/>
            </w:rPr>
          </w:pPr>
        </w:p>
        <w:p w14:paraId="22A15CE3" w14:textId="77777777" w:rsidR="00EE4D73" w:rsidRDefault="00EE4D73" w:rsidP="00EE4D73">
          <w:pPr>
            <w:spacing w:after="0" w:line="240" w:lineRule="auto"/>
            <w:ind w:left="5760"/>
            <w:jc w:val="right"/>
            <w:rPr>
              <w:rFonts w:ascii="Calibri" w:eastAsia="Calibri" w:hAnsi="Calibri" w:cs="Calibri"/>
              <w:b/>
              <w:bCs/>
              <w:sz w:val="24"/>
              <w:szCs w:val="24"/>
              <w:lang w:val="fr-FR"/>
            </w:rPr>
          </w:pPr>
        </w:p>
        <w:p w14:paraId="23752C69" w14:textId="32E3AC91" w:rsidR="00EE4D73" w:rsidRPr="00A01298" w:rsidRDefault="00EE4D73" w:rsidP="00EE4403">
          <w:pPr>
            <w:spacing w:after="0" w:line="240" w:lineRule="auto"/>
            <w:ind w:left="5760"/>
            <w:jc w:val="right"/>
            <w:rPr>
              <w:rFonts w:ascii="Calibri" w:eastAsia="Calibri" w:hAnsi="Calibri" w:cs="Calibri"/>
              <w:b/>
              <w:bCs/>
              <w:color w:val="FF0000"/>
              <w:sz w:val="24"/>
              <w:szCs w:val="24"/>
              <w:lang w:val="fr-FR"/>
            </w:rPr>
          </w:pPr>
          <w:r w:rsidRPr="00A01298">
            <w:rPr>
              <w:rFonts w:ascii="Calibri" w:eastAsia="Calibri" w:hAnsi="Calibri" w:cs="Calibri"/>
              <w:b/>
              <w:bCs/>
              <w:sz w:val="24"/>
              <w:szCs w:val="24"/>
              <w:lang w:val="fr-FR"/>
            </w:rPr>
            <w:t>PSC/</w:t>
          </w:r>
          <w:r w:rsidRPr="00A01298">
            <w:rPr>
              <w:rFonts w:ascii="Calibri" w:eastAsia="Calibri" w:hAnsi="Calibri" w:cs="Calibri"/>
              <w:b/>
              <w:bCs/>
              <w:color w:val="FF0000"/>
              <w:sz w:val="24"/>
              <w:szCs w:val="24"/>
              <w:lang w:val="fr-FR"/>
            </w:rPr>
            <w:t>PR</w:t>
          </w:r>
          <w:r w:rsidRPr="00A01298">
            <w:rPr>
              <w:rFonts w:ascii="Calibri" w:eastAsia="Calibri" w:hAnsi="Calibri" w:cs="Calibri"/>
              <w:b/>
              <w:bCs/>
              <w:sz w:val="24"/>
              <w:szCs w:val="24"/>
              <w:lang w:val="fr-FR"/>
            </w:rPr>
            <w:t>/BR.</w:t>
          </w:r>
          <w:r w:rsidRPr="00A01298">
            <w:rPr>
              <w:rFonts w:ascii="Calibri" w:eastAsia="Calibri" w:hAnsi="Calibri" w:cs="Calibri"/>
              <w:b/>
              <w:bCs/>
              <w:color w:val="FF0000"/>
              <w:sz w:val="24"/>
              <w:szCs w:val="24"/>
              <w:lang w:val="fr-FR"/>
            </w:rPr>
            <w:t>1029 (2021)</w:t>
          </w:r>
        </w:p>
        <w:p w14:paraId="6135779B" w14:textId="77777777" w:rsidR="00EE4D73" w:rsidRDefault="00EE4D73" w:rsidP="00EE4D73">
          <w:pPr>
            <w:spacing w:after="0" w:line="240" w:lineRule="auto"/>
            <w:ind w:left="5760"/>
            <w:jc w:val="right"/>
            <w:rPr>
              <w:rFonts w:ascii="Calibri" w:eastAsia="Calibri" w:hAnsi="Calibri" w:cs="Calibri"/>
              <w:b/>
              <w:bCs/>
              <w:sz w:val="24"/>
              <w:szCs w:val="24"/>
              <w:lang w:val="fr-FR"/>
            </w:rPr>
          </w:pPr>
        </w:p>
        <w:p w14:paraId="5B3A6FBD" w14:textId="77777777" w:rsidR="00EE4D73" w:rsidRDefault="00EE4D73" w:rsidP="00EE4D73">
          <w:pPr>
            <w:spacing w:after="0" w:line="240" w:lineRule="auto"/>
            <w:jc w:val="center"/>
            <w:rPr>
              <w:rFonts w:ascii="Calibri" w:eastAsia="Calibri" w:hAnsi="Calibri" w:cs="Calibri"/>
              <w:b/>
              <w:bCs/>
              <w:sz w:val="24"/>
              <w:szCs w:val="24"/>
              <w:u w:val="single"/>
              <w:lang w:val="fr-FR"/>
            </w:rPr>
          </w:pPr>
        </w:p>
        <w:p w14:paraId="6BDD9E38" w14:textId="77777777" w:rsidR="00EE4D73" w:rsidRDefault="00EE4D73" w:rsidP="00EE4D73">
          <w:pPr>
            <w:spacing w:after="0" w:line="240" w:lineRule="auto"/>
            <w:jc w:val="center"/>
            <w:rPr>
              <w:rFonts w:ascii="Calibri" w:eastAsia="Calibri" w:hAnsi="Calibri" w:cs="Calibri"/>
              <w:b/>
              <w:bCs/>
              <w:sz w:val="24"/>
              <w:szCs w:val="24"/>
              <w:u w:val="single"/>
              <w:lang w:val="fr-FR"/>
            </w:rPr>
          </w:pPr>
        </w:p>
        <w:p w14:paraId="300BAE26" w14:textId="77777777" w:rsidR="00EE4D73" w:rsidRDefault="00EE4D73" w:rsidP="00EE4D73">
          <w:pPr>
            <w:spacing w:after="0" w:line="240" w:lineRule="auto"/>
            <w:jc w:val="center"/>
            <w:rPr>
              <w:rFonts w:ascii="Calibri" w:eastAsia="Calibri" w:hAnsi="Calibri" w:cs="Calibri"/>
              <w:b/>
              <w:bCs/>
              <w:sz w:val="24"/>
              <w:szCs w:val="24"/>
              <w:u w:val="single"/>
              <w:lang w:val="fr-FR"/>
            </w:rPr>
          </w:pPr>
        </w:p>
        <w:p w14:paraId="4B24BF8C" w14:textId="77777777" w:rsidR="00EE4D73" w:rsidRDefault="00EE4D73" w:rsidP="00EE4D73">
          <w:pPr>
            <w:spacing w:after="0" w:line="240" w:lineRule="auto"/>
            <w:jc w:val="center"/>
            <w:rPr>
              <w:rFonts w:ascii="Calibri" w:eastAsia="Calibri" w:hAnsi="Calibri" w:cs="Calibri"/>
              <w:b/>
              <w:bCs/>
              <w:sz w:val="24"/>
              <w:szCs w:val="24"/>
              <w:u w:val="single"/>
              <w:lang w:val="fr-FR"/>
            </w:rPr>
          </w:pPr>
        </w:p>
        <w:p w14:paraId="5BD52C3C" w14:textId="77777777" w:rsidR="00EE4D73" w:rsidRDefault="00EE4D73" w:rsidP="00EE4D73">
          <w:pPr>
            <w:spacing w:after="0" w:line="240" w:lineRule="auto"/>
            <w:jc w:val="center"/>
            <w:rPr>
              <w:rFonts w:ascii="Calibri" w:eastAsia="Calibri" w:hAnsi="Calibri" w:cs="Calibri"/>
              <w:b/>
              <w:bCs/>
              <w:sz w:val="24"/>
              <w:szCs w:val="24"/>
              <w:u w:val="single"/>
              <w:lang w:val="fr-FR"/>
            </w:rPr>
          </w:pPr>
        </w:p>
        <w:p w14:paraId="1C0ED37D" w14:textId="77777777" w:rsidR="00EE4D73" w:rsidRPr="00097FA7" w:rsidRDefault="00EE4D73" w:rsidP="00EE4D73">
          <w:pPr>
            <w:spacing w:after="0" w:line="240" w:lineRule="auto"/>
            <w:jc w:val="center"/>
            <w:rPr>
              <w:rFonts w:ascii="Calibri" w:eastAsia="Calibri" w:hAnsi="Calibri" w:cs="Calibri"/>
              <w:b/>
              <w:bCs/>
              <w:sz w:val="24"/>
              <w:szCs w:val="24"/>
              <w:u w:val="single"/>
              <w:lang w:val="fr-FR"/>
            </w:rPr>
          </w:pPr>
          <w:r w:rsidRPr="00097FA7">
            <w:rPr>
              <w:rFonts w:ascii="Calibri" w:eastAsia="Calibri" w:hAnsi="Calibri" w:cs="Calibri"/>
              <w:b/>
              <w:bCs/>
              <w:sz w:val="24"/>
              <w:szCs w:val="24"/>
              <w:u w:val="single"/>
              <w:lang w:val="fr-FR"/>
            </w:rPr>
            <w:t>COMMUNIQUÉ</w:t>
          </w:r>
          <w:r>
            <w:rPr>
              <w:rFonts w:ascii="Calibri" w:eastAsia="Calibri" w:hAnsi="Calibri" w:cs="Calibri"/>
              <w:b/>
              <w:bCs/>
              <w:sz w:val="24"/>
              <w:szCs w:val="24"/>
              <w:u w:val="single"/>
              <w:lang w:val="fr-FR"/>
            </w:rPr>
            <w:t xml:space="preserve"> DE PRESS</w:t>
          </w:r>
        </w:p>
        <w:p w14:paraId="7FD42624" w14:textId="77777777" w:rsidR="00EE4D73" w:rsidRPr="00333C77" w:rsidRDefault="00EE4D73" w:rsidP="00EE4D73">
          <w:pPr>
            <w:spacing w:after="0" w:line="240" w:lineRule="auto"/>
            <w:jc w:val="center"/>
            <w:rPr>
              <w:rFonts w:ascii="Calibri" w:eastAsia="Calibri" w:hAnsi="Calibri" w:cs="Calibri"/>
              <w:b/>
              <w:bCs/>
              <w:sz w:val="24"/>
              <w:szCs w:val="24"/>
              <w:u w:val="single"/>
              <w:lang w:val="fr-FR"/>
            </w:rPr>
          </w:pPr>
        </w:p>
        <w:p w14:paraId="08C83B14" w14:textId="77777777" w:rsidR="00EE4D73" w:rsidRPr="00333C77" w:rsidRDefault="00EE4D73" w:rsidP="00EE4D73">
          <w:pPr>
            <w:spacing w:after="0" w:line="240" w:lineRule="auto"/>
            <w:ind w:left="5760"/>
            <w:jc w:val="right"/>
            <w:rPr>
              <w:rFonts w:ascii="Calibri" w:eastAsia="Calibri" w:hAnsi="Calibri" w:cs="Calibri"/>
              <w:b/>
              <w:bCs/>
              <w:sz w:val="24"/>
              <w:szCs w:val="24"/>
              <w:lang w:val="fr-FR"/>
            </w:rPr>
          </w:pPr>
        </w:p>
        <w:p w14:paraId="048F1575" w14:textId="2A19F64B" w:rsidR="00EE4D73" w:rsidRDefault="00EE4D73" w:rsidP="00EE4D73">
          <w:pPr>
            <w:rPr>
              <w:rFonts w:ascii="Calibri" w:eastAsia="Calibri" w:hAnsi="Calibri" w:cs="Calibri"/>
              <w:b/>
              <w:bCs/>
              <w:sz w:val="24"/>
              <w:szCs w:val="24"/>
              <w:lang w:val="fr-FR"/>
            </w:rPr>
          </w:pPr>
          <w:r>
            <w:rPr>
              <w:rFonts w:ascii="Calibri" w:eastAsia="Calibri" w:hAnsi="Calibri" w:cs="Calibri"/>
              <w:b/>
              <w:bCs/>
              <w:sz w:val="24"/>
              <w:szCs w:val="24"/>
              <w:lang w:val="fr-FR"/>
            </w:rPr>
            <w:br w:type="page"/>
          </w:r>
        </w:p>
      </w:sdtContent>
    </w:sdt>
    <w:p w14:paraId="31173886" w14:textId="77777777" w:rsidR="003B135B" w:rsidRPr="00044015" w:rsidRDefault="003B135B" w:rsidP="003B135B">
      <w:pPr>
        <w:spacing w:after="0" w:line="240" w:lineRule="auto"/>
        <w:jc w:val="center"/>
        <w:rPr>
          <w:b/>
          <w:bCs/>
          <w:sz w:val="24"/>
          <w:szCs w:val="24"/>
          <w:u w:val="single"/>
          <w:lang w:val="fr-FR"/>
        </w:rPr>
      </w:pPr>
      <w:r w:rsidRPr="00044015">
        <w:rPr>
          <w:b/>
          <w:bCs/>
          <w:sz w:val="24"/>
          <w:szCs w:val="24"/>
          <w:u w:val="single"/>
          <w:lang w:val="fr-FR"/>
        </w:rPr>
        <w:lastRenderedPageBreak/>
        <w:t>COMMUNIQUÉ DE PRESS</w:t>
      </w:r>
    </w:p>
    <w:p w14:paraId="62E03189" w14:textId="77777777" w:rsidR="003B135B" w:rsidRPr="00044015" w:rsidRDefault="003B135B" w:rsidP="003B135B">
      <w:pPr>
        <w:spacing w:after="0" w:line="240" w:lineRule="auto"/>
        <w:jc w:val="center"/>
        <w:rPr>
          <w:b/>
          <w:bCs/>
          <w:sz w:val="24"/>
          <w:szCs w:val="24"/>
          <w:lang w:val="fr-FR"/>
        </w:rPr>
      </w:pPr>
    </w:p>
    <w:p w14:paraId="4DD95233" w14:textId="77777777" w:rsidR="003B135B" w:rsidRPr="001B64AF" w:rsidRDefault="003B135B" w:rsidP="003B135B">
      <w:pPr>
        <w:spacing w:after="0" w:line="240" w:lineRule="auto"/>
        <w:ind w:firstLine="720"/>
        <w:jc w:val="both"/>
        <w:rPr>
          <w:b/>
          <w:bCs/>
          <w:sz w:val="24"/>
          <w:szCs w:val="24"/>
          <w:lang w:val="fr-FR"/>
        </w:rPr>
      </w:pPr>
      <w:r w:rsidRPr="001B64AF">
        <w:rPr>
          <w:b/>
          <w:bCs/>
          <w:sz w:val="24"/>
          <w:szCs w:val="24"/>
          <w:lang w:val="fr-FR"/>
        </w:rPr>
        <w:t xml:space="preserve">Le Conseil de paix et de sécurité (CPS) de l'Union africaine (UA) a consacré sa 1029e réunion, tenue le 8 septembre 2021, à une séance publique commémorant le Mois de l'amnistie 2021 en Afrique. </w:t>
      </w:r>
    </w:p>
    <w:p w14:paraId="25334AEA" w14:textId="77777777" w:rsidR="003B135B" w:rsidRPr="00044015" w:rsidRDefault="003B135B" w:rsidP="003B135B">
      <w:pPr>
        <w:spacing w:after="0" w:line="240" w:lineRule="auto"/>
        <w:ind w:firstLine="720"/>
        <w:jc w:val="both"/>
        <w:rPr>
          <w:sz w:val="24"/>
          <w:szCs w:val="24"/>
          <w:lang w:val="fr-FR"/>
        </w:rPr>
      </w:pPr>
    </w:p>
    <w:p w14:paraId="3BCDCB6C"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Le Conseil a rappelé la décision de la Conférence [Ext/</w:t>
      </w:r>
      <w:proofErr w:type="spellStart"/>
      <w:r w:rsidRPr="00044015">
        <w:rPr>
          <w:sz w:val="24"/>
          <w:szCs w:val="24"/>
          <w:lang w:val="fr-FR"/>
        </w:rPr>
        <w:t>Assembly</w:t>
      </w:r>
      <w:proofErr w:type="spellEnd"/>
      <w:r w:rsidRPr="00044015">
        <w:rPr>
          <w:sz w:val="24"/>
          <w:szCs w:val="24"/>
          <w:lang w:val="fr-FR"/>
        </w:rPr>
        <w:t xml:space="preserve">/AU/Dec.1 (XIV)] adoptée lors de la 14e session extraordinaire sur la réduction au silence des armes à feu, tenue le 6 décembre 2020, à Johannesburg (Afrique du Sud), laquelle décision prolonge la mise en œuvre de la Feuille de route globale de l'UA sur les mesures pratiques visant à faire taire les armes à feu en Afrique pour une période de dix (10) ans (2021-2030) et, par conséquent, prolonge la commémoration et la manifestation du Mois de l'amnistie en Afrique en septembre de chaque année pour une période de dix (10) ans (2021-2030) dans le cadre de l'Agenda 2063. Le Conseil a en outre rappelé toutes les décisions et déclarations antérieures sur ce thème central ainsi que les activités connexes. </w:t>
      </w:r>
    </w:p>
    <w:p w14:paraId="6101D4F6" w14:textId="77777777" w:rsidR="003B135B" w:rsidRPr="00044015" w:rsidRDefault="003B135B" w:rsidP="003B135B">
      <w:pPr>
        <w:spacing w:after="0" w:line="240" w:lineRule="auto"/>
        <w:ind w:firstLine="720"/>
        <w:jc w:val="both"/>
        <w:rPr>
          <w:sz w:val="24"/>
          <w:szCs w:val="24"/>
          <w:lang w:val="fr-FR"/>
        </w:rPr>
      </w:pPr>
    </w:p>
    <w:p w14:paraId="1E53BC55"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pris note des observations liminaires de S.E. l'Ambassadeur </w:t>
      </w:r>
      <w:proofErr w:type="spellStart"/>
      <w:r w:rsidRPr="00044015">
        <w:rPr>
          <w:sz w:val="24"/>
          <w:szCs w:val="24"/>
          <w:lang w:val="fr-FR"/>
        </w:rPr>
        <w:t>Mahamad</w:t>
      </w:r>
      <w:proofErr w:type="spellEnd"/>
      <w:r w:rsidRPr="00044015">
        <w:rPr>
          <w:sz w:val="24"/>
          <w:szCs w:val="24"/>
          <w:lang w:val="fr-FR"/>
        </w:rPr>
        <w:t xml:space="preserve"> Ali Hassan, Représentant permanent de la République du Tchad auprès de l'UA et Président du CPS pour le mois de septembre 2021, ainsi que de celles de S.E. l'Ambassadeur Bankole Adeoye, Commissaire chargé des affaires politiques, de la paix et de la sécurité. Le Conseil a également pris note de l’exposé de S.E. Mme Hanna </w:t>
      </w:r>
      <w:proofErr w:type="spellStart"/>
      <w:r w:rsidRPr="00044015">
        <w:rPr>
          <w:sz w:val="24"/>
          <w:szCs w:val="24"/>
          <w:lang w:val="fr-FR"/>
        </w:rPr>
        <w:t>Tetteh</w:t>
      </w:r>
      <w:proofErr w:type="spellEnd"/>
      <w:r w:rsidRPr="00044015">
        <w:rPr>
          <w:sz w:val="24"/>
          <w:szCs w:val="24"/>
          <w:lang w:val="fr-FR"/>
        </w:rPr>
        <w:t xml:space="preserve">, représentante spéciale du Secrétaire général des Nations unies (SRSG) et cheffe du Bureau des Nations unies auprès de l'UA (UNOAU), et de celui du représentant du Centre régional sur les armes légères dans la région des Grands Lacs, la Corne de l'Afrique et les États limitrophes. (RECSA). </w:t>
      </w:r>
    </w:p>
    <w:p w14:paraId="0D6CCFFD" w14:textId="77777777" w:rsidR="003B135B" w:rsidRPr="00044015" w:rsidRDefault="003B135B" w:rsidP="003B135B">
      <w:pPr>
        <w:spacing w:after="0" w:line="240" w:lineRule="auto"/>
        <w:ind w:firstLine="720"/>
        <w:jc w:val="both"/>
        <w:rPr>
          <w:sz w:val="24"/>
          <w:szCs w:val="24"/>
          <w:lang w:val="fr-FR"/>
        </w:rPr>
      </w:pPr>
    </w:p>
    <w:p w14:paraId="2273DED9"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En outre, le Conseil a pris note des déclarations des membres du CPS, des États membres de l'UA et des représentants respectifs des Communautés économiques régionales et des mécanismes régionaux de prévention, de gestion et de règlement des conflits. </w:t>
      </w:r>
    </w:p>
    <w:p w14:paraId="5238FEAD" w14:textId="77777777" w:rsidR="003B135B" w:rsidRPr="00044015" w:rsidRDefault="003B135B" w:rsidP="003B135B">
      <w:pPr>
        <w:spacing w:after="0" w:line="240" w:lineRule="auto"/>
        <w:ind w:firstLine="720"/>
        <w:jc w:val="both"/>
        <w:rPr>
          <w:sz w:val="24"/>
          <w:szCs w:val="24"/>
          <w:lang w:val="fr-FR"/>
        </w:rPr>
      </w:pPr>
    </w:p>
    <w:p w14:paraId="6F8F1680"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Le Conseil s'est déclaré gravement préoccupé par la persistance des conflits en Afrique, qui sont alimentés par des facteurs multiformes, et par la tendance des civils à acquérir des armes pour se protéger dans les situations de conflit, ce qui contribue à la prolifération et à la circulation des armes légères et de petit calibre illicites (SALW-</w:t>
      </w:r>
      <w:proofErr w:type="spellStart"/>
      <w:r w:rsidRPr="00044015">
        <w:rPr>
          <w:sz w:val="24"/>
          <w:szCs w:val="24"/>
          <w:lang w:val="fr-FR"/>
        </w:rPr>
        <w:t>ALPCArmes</w:t>
      </w:r>
      <w:proofErr w:type="spellEnd"/>
      <w:r w:rsidRPr="00044015">
        <w:rPr>
          <w:sz w:val="24"/>
          <w:szCs w:val="24"/>
          <w:lang w:val="fr-FR"/>
        </w:rPr>
        <w:t xml:space="preserve"> légères st de petit calibre). </w:t>
      </w:r>
    </w:p>
    <w:p w14:paraId="5F5F1CAB" w14:textId="77777777" w:rsidR="003B135B" w:rsidRPr="00044015" w:rsidRDefault="003B135B" w:rsidP="003B135B">
      <w:pPr>
        <w:spacing w:after="0" w:line="240" w:lineRule="auto"/>
        <w:ind w:firstLine="720"/>
        <w:jc w:val="both"/>
        <w:rPr>
          <w:sz w:val="24"/>
          <w:szCs w:val="24"/>
          <w:lang w:val="fr-FR"/>
        </w:rPr>
      </w:pPr>
    </w:p>
    <w:p w14:paraId="5EDBA2D0"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souligné qu'il était impératif de déployer des efforts concertés en vue de la mise en œuvre de la Feuille de route globale de l'UA sur les mesures pratiques visant à faire taire les armes en Afrique d'ici 2030, afin de ne pas léguer aux générations futures un continent ravagé par les conflits et, surtout, de réaliser les aspirations inscrites dans l'Agenda 2063. </w:t>
      </w:r>
    </w:p>
    <w:p w14:paraId="2B01E579" w14:textId="77777777" w:rsidR="003B135B" w:rsidRPr="00044015" w:rsidRDefault="003B135B" w:rsidP="003B135B">
      <w:pPr>
        <w:spacing w:after="0" w:line="240" w:lineRule="auto"/>
        <w:ind w:firstLine="720"/>
        <w:jc w:val="both"/>
        <w:rPr>
          <w:sz w:val="24"/>
          <w:szCs w:val="24"/>
          <w:lang w:val="fr-FR"/>
        </w:rPr>
      </w:pPr>
    </w:p>
    <w:p w14:paraId="02CD199E"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Le Conseil a noté avec satisfaction les progrès accomplis depuis le début de cette initiative adoptée en 2017, qui préconise la commémoration du Mois de l'amnistie en Afrique et, à cet égard, a souligné que la volonté de s'engager en faveur d'une société sans armes illégales permettra à l'Afrique de devenir un continent pacifique et sécurisé qui prospère collectivement dans la communauté des nations.</w:t>
      </w:r>
    </w:p>
    <w:p w14:paraId="115C80E4" w14:textId="77777777" w:rsidR="003B135B" w:rsidRPr="00044015" w:rsidRDefault="003B135B" w:rsidP="003B135B">
      <w:pPr>
        <w:spacing w:after="0" w:line="240" w:lineRule="auto"/>
        <w:ind w:firstLine="720"/>
        <w:jc w:val="both"/>
        <w:rPr>
          <w:sz w:val="24"/>
          <w:szCs w:val="24"/>
          <w:lang w:val="fr-FR"/>
        </w:rPr>
      </w:pPr>
    </w:p>
    <w:p w14:paraId="24C9710A"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lastRenderedPageBreak/>
        <w:t xml:space="preserve">Le Conseil a encouragé les États membres, en étroite collaboration avec les CER/MR, à consolider les acquis obtenus au cours de la période 2017-2020 et à promouvoir activement la commémoration annuelle du Mois de l'amnistie en Afrique, et à redoubler d'efforts pour le mettre en œuvre de manière effective, en tant qu'étape cruciale pour freiner la prolifération des armes détenues illégalement et faire taire les armes sur le Continent. </w:t>
      </w:r>
    </w:p>
    <w:p w14:paraId="5F025EAD" w14:textId="77777777" w:rsidR="003B135B" w:rsidRPr="00044015" w:rsidRDefault="003B135B" w:rsidP="003B135B">
      <w:pPr>
        <w:spacing w:after="0" w:line="240" w:lineRule="auto"/>
        <w:ind w:firstLine="720"/>
        <w:jc w:val="both"/>
        <w:rPr>
          <w:sz w:val="24"/>
          <w:szCs w:val="24"/>
          <w:lang w:val="fr-FR"/>
        </w:rPr>
      </w:pPr>
    </w:p>
    <w:p w14:paraId="78F70F13"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insisté sur la nécessité de s'attaquer aux facteurs et aux éléments moteurs qui sous-tendent la possession d'armes illicites par des civils, car il s'agit d'une condition nécessaire pour endiguer les flux illicites d'armes de manière intégrée et durable et, à cet égard, il a souligné qu'il importe que les États membres continuent d'accorder la priorité aux principaux objectifs de l'Architecture africaine de paix et de sécurité et de l'Architecture africaine de gouvernance. </w:t>
      </w:r>
    </w:p>
    <w:p w14:paraId="390A5240" w14:textId="77777777" w:rsidR="003B135B" w:rsidRPr="00044015" w:rsidRDefault="003B135B" w:rsidP="003B135B">
      <w:pPr>
        <w:spacing w:after="0" w:line="240" w:lineRule="auto"/>
        <w:ind w:firstLine="720"/>
        <w:jc w:val="both"/>
        <w:rPr>
          <w:sz w:val="24"/>
          <w:szCs w:val="24"/>
          <w:lang w:val="fr-FR"/>
        </w:rPr>
      </w:pPr>
    </w:p>
    <w:p w14:paraId="5C022EF3"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fermement condamné les États non africains qui parrainent et encouragent l'afflux d'armes en Afrique, y compris dans les cas d'embargos en vigueur sur les armes, ce qui conduit à une nouvelle escalade des conflits existants. À cet égard, le Conseil a insisté sur la nécessité de respecter les embargos actuels sur les armes et a souligné qu'il n'hésitera pas à nommer et à dénoncer les auteurs de telles actions et à prendre les mesures appropriées à leur encontre. </w:t>
      </w:r>
    </w:p>
    <w:p w14:paraId="5AD007FA" w14:textId="77777777" w:rsidR="003B135B" w:rsidRPr="00044015" w:rsidRDefault="003B135B" w:rsidP="003B135B">
      <w:pPr>
        <w:spacing w:after="0" w:line="240" w:lineRule="auto"/>
        <w:ind w:firstLine="720"/>
        <w:jc w:val="both"/>
        <w:rPr>
          <w:sz w:val="24"/>
          <w:szCs w:val="24"/>
          <w:lang w:val="fr-FR"/>
        </w:rPr>
      </w:pPr>
    </w:p>
    <w:p w14:paraId="79CEEAA4"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souligné l'importance d'une collaboration étroite entre les États voisins et avec les CER/MR concernés pour renforcer la surveillance et le contrôle des frontières, avec des rôles clairement définis, afin d'éradiquer le trafic transfrontalier des armes légères et de petit calibre et d'empêcher l'utilisation des frontières terrestres comme refuge pour les trafiquants, les acteurs armés non étatiques, les syndicats du crime et les groupes terroristes. À cet égard, le Conseil a appelé les États membres qui ne l'ont pas encore fait à ratifier le traité sur le commerce des armes dans le cadre des efforts déployés pour lutter contre l'importation d'armes illicites. </w:t>
      </w:r>
    </w:p>
    <w:p w14:paraId="120C9A34" w14:textId="77777777" w:rsidR="003B135B" w:rsidRPr="00044015" w:rsidRDefault="003B135B" w:rsidP="003B135B">
      <w:pPr>
        <w:spacing w:after="0" w:line="240" w:lineRule="auto"/>
        <w:ind w:firstLine="720"/>
        <w:jc w:val="both"/>
        <w:rPr>
          <w:sz w:val="24"/>
          <w:szCs w:val="24"/>
          <w:lang w:val="fr-FR"/>
        </w:rPr>
      </w:pPr>
    </w:p>
    <w:p w14:paraId="088483DA"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encouragé les CER, en étroite collaboration avec leurs États membres, à intensifier leurs efforts en vue de la mise en œuvre intégrale des instruments régionaux relatifs aux SALW (ALPC-Armes légères st de petit calibre), tels que la Convention de la CEDEAO, le Protocole de Nairobi, le Protocole de la SADC et la Convention de Kinshasa. Dans ce contexte, le Conseil a souligné la nécessité de renforcer les commissions nationales et les points focaux, et de les établir là où ils n'existent pas, afin qu'ils soient le fer de lance des mécanismes d'amnistie. </w:t>
      </w:r>
    </w:p>
    <w:p w14:paraId="5EC2F632" w14:textId="77777777" w:rsidR="003B135B" w:rsidRPr="00044015" w:rsidRDefault="003B135B" w:rsidP="003B135B">
      <w:pPr>
        <w:spacing w:after="0" w:line="240" w:lineRule="auto"/>
        <w:ind w:firstLine="720"/>
        <w:jc w:val="both"/>
        <w:rPr>
          <w:sz w:val="24"/>
          <w:szCs w:val="24"/>
          <w:lang w:val="fr-FR"/>
        </w:rPr>
      </w:pPr>
    </w:p>
    <w:p w14:paraId="786BB83F"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a souligné qu'il importait de renforcer les capacités nationales en matière de gestion des stocks et de destruction des SALW (ALPC-Armes légères st de petit calibre) remises. </w:t>
      </w:r>
    </w:p>
    <w:p w14:paraId="57885227" w14:textId="77777777" w:rsidR="003B135B" w:rsidRPr="00044015" w:rsidRDefault="003B135B" w:rsidP="003B135B">
      <w:pPr>
        <w:spacing w:after="0" w:line="240" w:lineRule="auto"/>
        <w:ind w:firstLine="720"/>
        <w:jc w:val="both"/>
        <w:rPr>
          <w:sz w:val="24"/>
          <w:szCs w:val="24"/>
          <w:lang w:val="fr-FR"/>
        </w:rPr>
      </w:pPr>
    </w:p>
    <w:p w14:paraId="23C49962"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Le Conseil a demandé instamment la participation active de tous les secteurs de la société, y compris les femmes et les jeunes, les organisations de la société civile, les organisations non gouvernementales, les organisations confessionnelles et les médias, afin de soutenir leurs États et régions respectifs dans la promotion de la remise des armes illicites par les civils au cours du Mois de l'amnistie en Afrique.</w:t>
      </w:r>
    </w:p>
    <w:p w14:paraId="483CF7B4" w14:textId="77777777" w:rsidR="003B135B" w:rsidRPr="00044015" w:rsidRDefault="003B135B" w:rsidP="003B135B">
      <w:pPr>
        <w:spacing w:after="0" w:line="240" w:lineRule="auto"/>
        <w:ind w:firstLine="720"/>
        <w:jc w:val="both"/>
        <w:rPr>
          <w:sz w:val="24"/>
          <w:szCs w:val="24"/>
          <w:lang w:val="fr-FR"/>
        </w:rPr>
      </w:pPr>
    </w:p>
    <w:p w14:paraId="65F78995"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lastRenderedPageBreak/>
        <w:t>Le Conseil a appelé les États membres à partager leurs meilleures pratiques et expériences dans la conception et la mise en œuvre d'initiatives visant à commémorer le Mois de l'Amnistie en Afrique et l'initiative globale de</w:t>
      </w:r>
      <w:proofErr w:type="gramStart"/>
      <w:r w:rsidRPr="00044015">
        <w:rPr>
          <w:sz w:val="24"/>
          <w:szCs w:val="24"/>
          <w:lang w:val="fr-FR"/>
        </w:rPr>
        <w:t xml:space="preserve"> «Faire</w:t>
      </w:r>
      <w:proofErr w:type="gramEnd"/>
      <w:r w:rsidRPr="00044015">
        <w:rPr>
          <w:sz w:val="24"/>
          <w:szCs w:val="24"/>
          <w:lang w:val="fr-FR"/>
        </w:rPr>
        <w:t xml:space="preserve"> taire les armes». En outre, le Conseil a encouragé les États membres à mobiliser les ressources nécessaires et à s'associer à des experts pour assurer une mise en œuvre efficace de cette initiative.</w:t>
      </w:r>
    </w:p>
    <w:p w14:paraId="6466071F" w14:textId="77777777" w:rsidR="003B135B" w:rsidRPr="00044015" w:rsidRDefault="003B135B" w:rsidP="003B135B">
      <w:pPr>
        <w:spacing w:after="0" w:line="240" w:lineRule="auto"/>
        <w:ind w:firstLine="720"/>
        <w:jc w:val="both"/>
        <w:rPr>
          <w:sz w:val="24"/>
          <w:szCs w:val="24"/>
          <w:lang w:val="fr-FR"/>
        </w:rPr>
      </w:pPr>
    </w:p>
    <w:p w14:paraId="392C22FA"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Le Conseil a demandé à la Commission de l'UA de travailler en cohérence avec les États membres et de fournir l'appui technique, le cas échéant, pour s'assurer que les États membres élaborent des plans d'action pour la remise et la destruction des armes détenues illégalement, et commémorent chaque année le Mois de l'amnistie en Afrique jusqu'à ce que l'objectif de faire taire les armes soit atteint sur le continent.</w:t>
      </w:r>
    </w:p>
    <w:p w14:paraId="6D46AE2E" w14:textId="77777777" w:rsidR="003B135B" w:rsidRPr="00044015" w:rsidRDefault="003B135B" w:rsidP="003B135B">
      <w:pPr>
        <w:spacing w:after="0" w:line="240" w:lineRule="auto"/>
        <w:ind w:firstLine="720"/>
        <w:jc w:val="both"/>
        <w:rPr>
          <w:sz w:val="24"/>
          <w:szCs w:val="24"/>
          <w:lang w:val="fr-FR"/>
        </w:rPr>
      </w:pPr>
    </w:p>
    <w:p w14:paraId="4B9500FD"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Le Conseil a en outre demandé à la Commission de l'UA de revitaliser le Comité de pilotage des réformes du secteur de la sécurité (RSS) afin de travailler en étroite collaboration avec les États membres et les CER/MR pour mettre en œuvre les réformes du secteur de la sécurité.</w:t>
      </w:r>
    </w:p>
    <w:p w14:paraId="2E53C181" w14:textId="77777777" w:rsidR="003B135B" w:rsidRPr="00044015" w:rsidRDefault="003B135B" w:rsidP="003B135B">
      <w:pPr>
        <w:spacing w:after="0" w:line="240" w:lineRule="auto"/>
        <w:ind w:firstLine="720"/>
        <w:jc w:val="both"/>
        <w:rPr>
          <w:sz w:val="24"/>
          <w:szCs w:val="24"/>
          <w:lang w:val="fr-FR"/>
        </w:rPr>
      </w:pPr>
    </w:p>
    <w:p w14:paraId="5E33324D" w14:textId="77777777" w:rsidR="003B135B" w:rsidRPr="00044015" w:rsidRDefault="003B135B" w:rsidP="003B135B">
      <w:pPr>
        <w:spacing w:after="0" w:line="240" w:lineRule="auto"/>
        <w:ind w:firstLine="720"/>
        <w:jc w:val="both"/>
        <w:rPr>
          <w:sz w:val="24"/>
          <w:szCs w:val="24"/>
          <w:lang w:val="fr-FR"/>
        </w:rPr>
      </w:pPr>
      <w:r w:rsidRPr="00044015">
        <w:rPr>
          <w:sz w:val="24"/>
          <w:szCs w:val="24"/>
          <w:lang w:val="fr-FR"/>
        </w:rPr>
        <w:t xml:space="preserve">Le Conseil s'est engagé à commémorer le mois d'amnistie sur le terrain, à l'avenir, dans un État membre sélectionné, lorsque les conditions seront propices, afin de veiller à ce que les objectifs de cette initiative soient popularisés et d'encourager une large participation. </w:t>
      </w:r>
    </w:p>
    <w:p w14:paraId="6D1D95E7" w14:textId="77777777" w:rsidR="003B135B" w:rsidRPr="00044015" w:rsidRDefault="003B135B" w:rsidP="003B135B">
      <w:pPr>
        <w:spacing w:after="0" w:line="240" w:lineRule="auto"/>
        <w:ind w:firstLine="720"/>
        <w:jc w:val="both"/>
        <w:rPr>
          <w:sz w:val="24"/>
          <w:szCs w:val="24"/>
          <w:lang w:val="fr-FR"/>
        </w:rPr>
      </w:pPr>
    </w:p>
    <w:p w14:paraId="4B1F8833" w14:textId="7DC19B6D" w:rsidR="00490E13" w:rsidRPr="003B135B" w:rsidRDefault="003B135B" w:rsidP="003B135B">
      <w:pPr>
        <w:spacing w:after="0" w:line="240" w:lineRule="auto"/>
        <w:ind w:firstLine="720"/>
        <w:jc w:val="both"/>
        <w:rPr>
          <w:rFonts w:cstheme="minorHAnsi"/>
          <w:sz w:val="24"/>
          <w:szCs w:val="24"/>
          <w:lang w:val="fr-FR"/>
        </w:rPr>
      </w:pPr>
      <w:r w:rsidRPr="00044015">
        <w:rPr>
          <w:sz w:val="24"/>
          <w:szCs w:val="24"/>
          <w:lang w:val="fr-FR"/>
        </w:rPr>
        <w:t>Le Conseil a convenu de rester activement saisi de la question.</w:t>
      </w:r>
    </w:p>
    <w:sectPr w:rsidR="00490E13" w:rsidRPr="003B135B" w:rsidSect="00F415EC">
      <w:headerReference w:type="even" r:id="rId9"/>
      <w:headerReference w:type="default" r:id="rId10"/>
      <w:footerReference w:type="even" r:id="rId11"/>
      <w:footerReference w:type="default" r:id="rId12"/>
      <w:headerReference w:type="first" r:id="rId13"/>
      <w:footerReference w:type="first" r:id="rId14"/>
      <w:pgSz w:w="11906" w:h="16838"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4A0DAC" w14:textId="77777777" w:rsidR="008C109D" w:rsidRDefault="008C109D" w:rsidP="003F165D">
      <w:pPr>
        <w:spacing w:after="0" w:line="240" w:lineRule="auto"/>
      </w:pPr>
      <w:r>
        <w:separator/>
      </w:r>
    </w:p>
  </w:endnote>
  <w:endnote w:type="continuationSeparator" w:id="0">
    <w:p w14:paraId="785C79CC" w14:textId="77777777" w:rsidR="008C109D" w:rsidRDefault="008C109D" w:rsidP="003F1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1FD25" w14:textId="29EF0C3B" w:rsidR="00D63D7E" w:rsidRPr="00607D66" w:rsidRDefault="00607D66" w:rsidP="00607D66">
    <w:pPr>
      <w:pStyle w:val="Header"/>
      <w:jc w:val="right"/>
      <w:rPr>
        <w:b/>
        <w:bCs/>
        <w:color w:val="FF0000"/>
        <w:sz w:val="20"/>
        <w:szCs w:val="20"/>
      </w:rPr>
    </w:pPr>
    <w:r>
      <w:rPr>
        <w:b/>
        <w:bCs/>
        <w:color w:val="FF0000"/>
        <w:sz w:val="20"/>
        <w:szCs w:val="20"/>
      </w:rPr>
      <w:t>PSC/PR/BR.</w:t>
    </w:r>
    <w:r w:rsidRPr="0003461B">
      <w:rPr>
        <w:b/>
        <w:bCs/>
        <w:color w:val="FF0000"/>
        <w:sz w:val="20"/>
        <w:szCs w:val="20"/>
      </w:rPr>
      <w:t>10</w:t>
    </w:r>
    <w:r>
      <w:rPr>
        <w:b/>
        <w:bCs/>
        <w:color w:val="FF0000"/>
        <w:sz w:val="20"/>
        <w:szCs w:val="20"/>
      </w:rPr>
      <w:t>29</w:t>
    </w:r>
    <w:r w:rsidRPr="0003461B">
      <w:rPr>
        <w:b/>
        <w:bCs/>
        <w:color w:val="FF0000"/>
        <w:sz w:val="20"/>
        <w:szCs w:val="20"/>
      </w:rPr>
      <w:t xml:space="preserve"> (2022)</w:t>
    </w:r>
    <w:bookmarkStart w:id="0" w:name="_GoBack"/>
    <w:bookmarkEnd w:id="0"/>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590076532"/>
      <w:docPartObj>
        <w:docPartGallery w:val="Page Numbers (Bottom of Page)"/>
        <w:docPartUnique/>
      </w:docPartObj>
    </w:sdtPr>
    <w:sdtContent>
      <w:sdt>
        <w:sdtPr>
          <w:rPr>
            <w:sz w:val="20"/>
            <w:szCs w:val="20"/>
          </w:rPr>
          <w:id w:val="-1705238520"/>
          <w:docPartObj>
            <w:docPartGallery w:val="Page Numbers (Top of Page)"/>
            <w:docPartUnique/>
          </w:docPartObj>
        </w:sdtPr>
        <w:sdtContent>
          <w:p w14:paraId="5D6EC3F8" w14:textId="6815EF26" w:rsidR="00D63D7E" w:rsidRPr="00607D66" w:rsidRDefault="00607D66" w:rsidP="00607D66">
            <w:pPr>
              <w:pStyle w:val="Footer"/>
              <w:rPr>
                <w:sz w:val="20"/>
                <w:szCs w:val="20"/>
              </w:rPr>
            </w:pPr>
            <w:r>
              <w:rPr>
                <w:b/>
                <w:bCs/>
                <w:color w:val="FF0000"/>
                <w:sz w:val="20"/>
                <w:szCs w:val="20"/>
              </w:rPr>
              <w:t>PSC/PR/BR.1029</w:t>
            </w:r>
            <w:r w:rsidRPr="0003461B">
              <w:rPr>
                <w:b/>
                <w:bCs/>
                <w:color w:val="FF0000"/>
                <w:sz w:val="20"/>
                <w:szCs w:val="20"/>
              </w:rPr>
              <w:t xml:space="preserve"> </w:t>
            </w:r>
            <w:r>
              <w:rPr>
                <w:b/>
                <w:bCs/>
                <w:color w:val="FF0000"/>
                <w:sz w:val="20"/>
                <w:szCs w:val="20"/>
              </w:rPr>
              <w:t>(2021</w:t>
            </w:r>
            <w:r w:rsidRPr="0003461B">
              <w:rPr>
                <w:b/>
                <w:bCs/>
                <w:color w:val="FF0000"/>
                <w:sz w:val="20"/>
                <w:szCs w:val="20"/>
              </w:rPr>
              <w:t>)</w:t>
            </w:r>
          </w:p>
        </w:sdtContent>
      </w:sdt>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0142C" w14:textId="77777777" w:rsidR="00607D66" w:rsidRDefault="00607D6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B3635A" w14:textId="77777777" w:rsidR="008C109D" w:rsidRDefault="008C109D" w:rsidP="003F165D">
      <w:pPr>
        <w:spacing w:after="0" w:line="240" w:lineRule="auto"/>
      </w:pPr>
      <w:r>
        <w:separator/>
      </w:r>
    </w:p>
  </w:footnote>
  <w:footnote w:type="continuationSeparator" w:id="0">
    <w:p w14:paraId="0C52E164" w14:textId="77777777" w:rsidR="008C109D" w:rsidRDefault="008C109D" w:rsidP="003F1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318336367"/>
      <w:docPartObj>
        <w:docPartGallery w:val="Page Numbers (Top of Page)"/>
        <w:docPartUnique/>
      </w:docPartObj>
    </w:sdtPr>
    <w:sdtContent>
      <w:p w14:paraId="4A5B8842" w14:textId="1B05A05D" w:rsidR="0053251C" w:rsidRPr="00607D66" w:rsidRDefault="00607D66" w:rsidP="00607D66">
        <w:pPr>
          <w:pStyle w:val="Header"/>
          <w:jc w:val="right"/>
          <w:rPr>
            <w:sz w:val="20"/>
            <w:szCs w:val="20"/>
          </w:rPr>
        </w:pPr>
        <w:r w:rsidRPr="0078018E">
          <w:rPr>
            <w:sz w:val="20"/>
            <w:szCs w:val="20"/>
          </w:rPr>
          <w:t xml:space="preserve">Page </w:t>
        </w:r>
        <w:r w:rsidRPr="0078018E">
          <w:rPr>
            <w:b/>
            <w:bCs/>
            <w:sz w:val="20"/>
            <w:szCs w:val="20"/>
          </w:rPr>
          <w:fldChar w:fldCharType="begin"/>
        </w:r>
        <w:r w:rsidRPr="0078018E">
          <w:rPr>
            <w:b/>
            <w:bCs/>
            <w:sz w:val="20"/>
            <w:szCs w:val="20"/>
          </w:rPr>
          <w:instrText xml:space="preserve"> PAGE </w:instrText>
        </w:r>
        <w:r w:rsidRPr="0078018E">
          <w:rPr>
            <w:b/>
            <w:bCs/>
            <w:sz w:val="20"/>
            <w:szCs w:val="20"/>
          </w:rPr>
          <w:fldChar w:fldCharType="separate"/>
        </w:r>
        <w:r>
          <w:rPr>
            <w:b/>
            <w:bCs/>
            <w:noProof/>
            <w:sz w:val="20"/>
            <w:szCs w:val="20"/>
          </w:rPr>
          <w:t>2</w:t>
        </w:r>
        <w:r w:rsidRPr="0078018E">
          <w:rPr>
            <w:b/>
            <w:bCs/>
            <w:sz w:val="20"/>
            <w:szCs w:val="20"/>
          </w:rPr>
          <w:fldChar w:fldCharType="end"/>
        </w:r>
        <w:r w:rsidRPr="0078018E">
          <w:rPr>
            <w:sz w:val="20"/>
            <w:szCs w:val="20"/>
          </w:rPr>
          <w:t xml:space="preserve"> of </w:t>
        </w:r>
        <w:r w:rsidRPr="0078018E">
          <w:rPr>
            <w:b/>
            <w:bCs/>
            <w:sz w:val="20"/>
            <w:szCs w:val="20"/>
          </w:rPr>
          <w:fldChar w:fldCharType="begin"/>
        </w:r>
        <w:r w:rsidRPr="0078018E">
          <w:rPr>
            <w:b/>
            <w:bCs/>
            <w:sz w:val="20"/>
            <w:szCs w:val="20"/>
          </w:rPr>
          <w:instrText xml:space="preserve"> NUMPAGES  </w:instrText>
        </w:r>
        <w:r w:rsidRPr="0078018E">
          <w:rPr>
            <w:b/>
            <w:bCs/>
            <w:sz w:val="20"/>
            <w:szCs w:val="20"/>
          </w:rPr>
          <w:fldChar w:fldCharType="separate"/>
        </w:r>
        <w:r>
          <w:rPr>
            <w:b/>
            <w:bCs/>
            <w:noProof/>
            <w:sz w:val="20"/>
            <w:szCs w:val="20"/>
          </w:rPr>
          <w:t>3</w:t>
        </w:r>
        <w:r w:rsidRPr="0078018E">
          <w:rPr>
            <w:b/>
            <w:bCs/>
            <w:sz w:val="20"/>
            <w:szCs w:val="20"/>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98381352"/>
      <w:docPartObj>
        <w:docPartGallery w:val="Page Numbers (Top of Page)"/>
        <w:docPartUnique/>
      </w:docPartObj>
    </w:sdtPr>
    <w:sdtContent>
      <w:p w14:paraId="1E22B778" w14:textId="5E8405F9" w:rsidR="00CC054F" w:rsidRPr="00607D66" w:rsidRDefault="00607D66" w:rsidP="00607D66">
        <w:pPr>
          <w:pStyle w:val="Header"/>
          <w:rPr>
            <w:sz w:val="20"/>
            <w:szCs w:val="20"/>
          </w:rPr>
        </w:pPr>
        <w:r w:rsidRPr="0078018E">
          <w:rPr>
            <w:sz w:val="20"/>
            <w:szCs w:val="20"/>
          </w:rPr>
          <w:t xml:space="preserve">Page </w:t>
        </w:r>
        <w:r w:rsidRPr="0078018E">
          <w:rPr>
            <w:b/>
            <w:bCs/>
            <w:sz w:val="20"/>
            <w:szCs w:val="20"/>
          </w:rPr>
          <w:fldChar w:fldCharType="begin"/>
        </w:r>
        <w:r w:rsidRPr="0078018E">
          <w:rPr>
            <w:b/>
            <w:bCs/>
            <w:sz w:val="20"/>
            <w:szCs w:val="20"/>
          </w:rPr>
          <w:instrText xml:space="preserve"> PAGE </w:instrText>
        </w:r>
        <w:r w:rsidRPr="0078018E">
          <w:rPr>
            <w:b/>
            <w:bCs/>
            <w:sz w:val="20"/>
            <w:szCs w:val="20"/>
          </w:rPr>
          <w:fldChar w:fldCharType="separate"/>
        </w:r>
        <w:r>
          <w:rPr>
            <w:b/>
            <w:bCs/>
            <w:noProof/>
            <w:sz w:val="20"/>
            <w:szCs w:val="20"/>
          </w:rPr>
          <w:t>3</w:t>
        </w:r>
        <w:r w:rsidRPr="0078018E">
          <w:rPr>
            <w:b/>
            <w:bCs/>
            <w:sz w:val="20"/>
            <w:szCs w:val="20"/>
          </w:rPr>
          <w:fldChar w:fldCharType="end"/>
        </w:r>
        <w:r w:rsidRPr="0078018E">
          <w:rPr>
            <w:sz w:val="20"/>
            <w:szCs w:val="20"/>
          </w:rPr>
          <w:t xml:space="preserve"> of </w:t>
        </w:r>
        <w:r w:rsidRPr="0078018E">
          <w:rPr>
            <w:b/>
            <w:bCs/>
            <w:sz w:val="20"/>
            <w:szCs w:val="20"/>
          </w:rPr>
          <w:fldChar w:fldCharType="begin"/>
        </w:r>
        <w:r w:rsidRPr="0078018E">
          <w:rPr>
            <w:b/>
            <w:bCs/>
            <w:sz w:val="20"/>
            <w:szCs w:val="20"/>
          </w:rPr>
          <w:instrText xml:space="preserve"> NUMPAGES  </w:instrText>
        </w:r>
        <w:r w:rsidRPr="0078018E">
          <w:rPr>
            <w:b/>
            <w:bCs/>
            <w:sz w:val="20"/>
            <w:szCs w:val="20"/>
          </w:rPr>
          <w:fldChar w:fldCharType="separate"/>
        </w:r>
        <w:r>
          <w:rPr>
            <w:b/>
            <w:bCs/>
            <w:noProof/>
            <w:sz w:val="20"/>
            <w:szCs w:val="20"/>
          </w:rPr>
          <w:t>3</w:t>
        </w:r>
        <w:r w:rsidRPr="0078018E">
          <w:rPr>
            <w:b/>
            <w:bCs/>
            <w:sz w:val="20"/>
            <w:szCs w:val="20"/>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77EA8" w14:textId="77777777" w:rsidR="00607D66" w:rsidRDefault="00607D6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7DB0"/>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B57D14"/>
    <w:multiLevelType w:val="hybridMultilevel"/>
    <w:tmpl w:val="BF6622DE"/>
    <w:lvl w:ilvl="0" w:tplc="1098F18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756216"/>
    <w:multiLevelType w:val="hybridMultilevel"/>
    <w:tmpl w:val="4308D5F6"/>
    <w:lvl w:ilvl="0" w:tplc="58EE0C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EC6110"/>
    <w:multiLevelType w:val="hybridMultilevel"/>
    <w:tmpl w:val="67EEAFE2"/>
    <w:lvl w:ilvl="0" w:tplc="0B201C48">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B280E93"/>
    <w:multiLevelType w:val="hybridMultilevel"/>
    <w:tmpl w:val="333AC0EA"/>
    <w:lvl w:ilvl="0" w:tplc="6876FC16">
      <w:start w:val="1"/>
      <w:numFmt w:val="decimal"/>
      <w:lvlText w:val="%1."/>
      <w:lvlJc w:val="left"/>
      <w:pPr>
        <w:ind w:left="720" w:hanging="360"/>
      </w:pPr>
      <w:rPr>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E13"/>
    <w:rsid w:val="00002246"/>
    <w:rsid w:val="00002FC6"/>
    <w:rsid w:val="00023229"/>
    <w:rsid w:val="0003461B"/>
    <w:rsid w:val="00042C81"/>
    <w:rsid w:val="00064E24"/>
    <w:rsid w:val="000E3675"/>
    <w:rsid w:val="00101DC6"/>
    <w:rsid w:val="0010463B"/>
    <w:rsid w:val="001367AF"/>
    <w:rsid w:val="00161337"/>
    <w:rsid w:val="00163292"/>
    <w:rsid w:val="00165A81"/>
    <w:rsid w:val="0016699F"/>
    <w:rsid w:val="0018697E"/>
    <w:rsid w:val="001A6982"/>
    <w:rsid w:val="001C0ECD"/>
    <w:rsid w:val="001E1113"/>
    <w:rsid w:val="00224960"/>
    <w:rsid w:val="002444DB"/>
    <w:rsid w:val="00247633"/>
    <w:rsid w:val="00285FCA"/>
    <w:rsid w:val="00292C52"/>
    <w:rsid w:val="002B20EC"/>
    <w:rsid w:val="003072D3"/>
    <w:rsid w:val="00321AE9"/>
    <w:rsid w:val="00325B50"/>
    <w:rsid w:val="00333C77"/>
    <w:rsid w:val="00346A56"/>
    <w:rsid w:val="00347E04"/>
    <w:rsid w:val="0036367F"/>
    <w:rsid w:val="00391220"/>
    <w:rsid w:val="003A20B9"/>
    <w:rsid w:val="003B135B"/>
    <w:rsid w:val="003C4008"/>
    <w:rsid w:val="003C49BB"/>
    <w:rsid w:val="003D2738"/>
    <w:rsid w:val="003F165D"/>
    <w:rsid w:val="003F19D1"/>
    <w:rsid w:val="003F6AAE"/>
    <w:rsid w:val="00412842"/>
    <w:rsid w:val="00416EA0"/>
    <w:rsid w:val="004254F0"/>
    <w:rsid w:val="00425589"/>
    <w:rsid w:val="004275A2"/>
    <w:rsid w:val="00490E13"/>
    <w:rsid w:val="004A2689"/>
    <w:rsid w:val="004A45F2"/>
    <w:rsid w:val="004F4056"/>
    <w:rsid w:val="00503B48"/>
    <w:rsid w:val="0053251C"/>
    <w:rsid w:val="00541AF1"/>
    <w:rsid w:val="005917CF"/>
    <w:rsid w:val="005D32AF"/>
    <w:rsid w:val="005E0472"/>
    <w:rsid w:val="00607D66"/>
    <w:rsid w:val="006174AA"/>
    <w:rsid w:val="00620BAB"/>
    <w:rsid w:val="00657C3E"/>
    <w:rsid w:val="006A00B4"/>
    <w:rsid w:val="006C3E7D"/>
    <w:rsid w:val="006D03C3"/>
    <w:rsid w:val="006D35A4"/>
    <w:rsid w:val="006E7165"/>
    <w:rsid w:val="007148C1"/>
    <w:rsid w:val="007210AE"/>
    <w:rsid w:val="007273BD"/>
    <w:rsid w:val="007C25E2"/>
    <w:rsid w:val="007E3699"/>
    <w:rsid w:val="007E5D1E"/>
    <w:rsid w:val="00800C64"/>
    <w:rsid w:val="00816C19"/>
    <w:rsid w:val="00845D8C"/>
    <w:rsid w:val="008469BA"/>
    <w:rsid w:val="00860864"/>
    <w:rsid w:val="008667EC"/>
    <w:rsid w:val="00886106"/>
    <w:rsid w:val="00896637"/>
    <w:rsid w:val="008A2888"/>
    <w:rsid w:val="008B539A"/>
    <w:rsid w:val="008C109D"/>
    <w:rsid w:val="008C256F"/>
    <w:rsid w:val="008D0C8A"/>
    <w:rsid w:val="008D5F7F"/>
    <w:rsid w:val="00925A3E"/>
    <w:rsid w:val="00925F1D"/>
    <w:rsid w:val="0097326F"/>
    <w:rsid w:val="009772E0"/>
    <w:rsid w:val="00982EF1"/>
    <w:rsid w:val="00995AF0"/>
    <w:rsid w:val="009E12AD"/>
    <w:rsid w:val="009E34A2"/>
    <w:rsid w:val="009E6F0E"/>
    <w:rsid w:val="00A920E4"/>
    <w:rsid w:val="00AE098B"/>
    <w:rsid w:val="00AE2099"/>
    <w:rsid w:val="00B05773"/>
    <w:rsid w:val="00B23A0E"/>
    <w:rsid w:val="00B37972"/>
    <w:rsid w:val="00B46DB3"/>
    <w:rsid w:val="00B6389C"/>
    <w:rsid w:val="00B82791"/>
    <w:rsid w:val="00B96BFC"/>
    <w:rsid w:val="00BF1B19"/>
    <w:rsid w:val="00C20042"/>
    <w:rsid w:val="00C7272B"/>
    <w:rsid w:val="00C80424"/>
    <w:rsid w:val="00C85DA5"/>
    <w:rsid w:val="00C906E7"/>
    <w:rsid w:val="00C9456B"/>
    <w:rsid w:val="00CC054F"/>
    <w:rsid w:val="00CC2B4E"/>
    <w:rsid w:val="00CC2D13"/>
    <w:rsid w:val="00CE28A4"/>
    <w:rsid w:val="00CF2187"/>
    <w:rsid w:val="00D002AC"/>
    <w:rsid w:val="00D153ED"/>
    <w:rsid w:val="00D63D7E"/>
    <w:rsid w:val="00D70F6E"/>
    <w:rsid w:val="00D935EC"/>
    <w:rsid w:val="00D96FF0"/>
    <w:rsid w:val="00DB2B9D"/>
    <w:rsid w:val="00DB539C"/>
    <w:rsid w:val="00DD1E84"/>
    <w:rsid w:val="00DE39D7"/>
    <w:rsid w:val="00E06A8E"/>
    <w:rsid w:val="00E2154D"/>
    <w:rsid w:val="00E332B9"/>
    <w:rsid w:val="00E46A50"/>
    <w:rsid w:val="00E52FD7"/>
    <w:rsid w:val="00E63EE2"/>
    <w:rsid w:val="00E972D0"/>
    <w:rsid w:val="00EC6BF3"/>
    <w:rsid w:val="00EE4403"/>
    <w:rsid w:val="00EE4D73"/>
    <w:rsid w:val="00F25373"/>
    <w:rsid w:val="00F415EC"/>
    <w:rsid w:val="00F62C34"/>
    <w:rsid w:val="00F75C97"/>
    <w:rsid w:val="00F9114F"/>
    <w:rsid w:val="00FA3117"/>
    <w:rsid w:val="00FB1B6F"/>
    <w:rsid w:val="00FB7B6B"/>
    <w:rsid w:val="00FE46D0"/>
    <w:rsid w:val="00FF4C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97185"/>
  <w15:chartTrackingRefBased/>
  <w15:docId w15:val="{08E96154-2B86-44AF-936B-169B2C4BD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E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6E7"/>
    <w:pPr>
      <w:ind w:left="720"/>
      <w:contextualSpacing/>
    </w:pPr>
  </w:style>
  <w:style w:type="paragraph" w:styleId="Header">
    <w:name w:val="header"/>
    <w:basedOn w:val="Normal"/>
    <w:link w:val="HeaderChar"/>
    <w:uiPriority w:val="99"/>
    <w:unhideWhenUsed/>
    <w:rsid w:val="003F16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65D"/>
  </w:style>
  <w:style w:type="paragraph" w:styleId="Footer">
    <w:name w:val="footer"/>
    <w:basedOn w:val="Normal"/>
    <w:link w:val="FooterChar"/>
    <w:uiPriority w:val="99"/>
    <w:unhideWhenUsed/>
    <w:rsid w:val="003F16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65D"/>
  </w:style>
  <w:style w:type="paragraph" w:styleId="BalloonText">
    <w:name w:val="Balloon Text"/>
    <w:basedOn w:val="Normal"/>
    <w:link w:val="BalloonTextChar"/>
    <w:uiPriority w:val="99"/>
    <w:semiHidden/>
    <w:unhideWhenUsed/>
    <w:rsid w:val="00C200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0042"/>
    <w:rPr>
      <w:rFonts w:ascii="Segoe UI" w:hAnsi="Segoe UI" w:cs="Segoe UI"/>
      <w:sz w:val="18"/>
      <w:szCs w:val="18"/>
    </w:rPr>
  </w:style>
  <w:style w:type="character" w:styleId="Hyperlink">
    <w:name w:val="Hyperlink"/>
    <w:basedOn w:val="DefaultParagraphFont"/>
    <w:uiPriority w:val="99"/>
    <w:unhideWhenUsed/>
    <w:rsid w:val="00620BAB"/>
    <w:rPr>
      <w:color w:val="0563C1" w:themeColor="hyperlink"/>
      <w:u w:val="single"/>
    </w:rPr>
  </w:style>
  <w:style w:type="paragraph" w:styleId="NoSpacing">
    <w:name w:val="No Spacing"/>
    <w:link w:val="NoSpacingChar"/>
    <w:uiPriority w:val="1"/>
    <w:qFormat/>
    <w:rsid w:val="00002FC6"/>
    <w:pPr>
      <w:spacing w:after="0" w:line="240" w:lineRule="auto"/>
    </w:pPr>
    <w:rPr>
      <w:rFonts w:eastAsiaTheme="minorEastAsia"/>
    </w:rPr>
  </w:style>
  <w:style w:type="character" w:customStyle="1" w:styleId="NoSpacingChar">
    <w:name w:val="No Spacing Char"/>
    <w:basedOn w:val="DefaultParagraphFont"/>
    <w:link w:val="NoSpacing"/>
    <w:uiPriority w:val="1"/>
    <w:rsid w:val="00002FC6"/>
    <w:rPr>
      <w:rFonts w:eastAsiaTheme="minorEastAsia"/>
    </w:rPr>
  </w:style>
  <w:style w:type="character" w:styleId="FollowedHyperlink">
    <w:name w:val="FollowedHyperlink"/>
    <w:basedOn w:val="DefaultParagraphFont"/>
    <w:uiPriority w:val="99"/>
    <w:semiHidden/>
    <w:unhideWhenUsed/>
    <w:rsid w:val="00165A81"/>
    <w:rPr>
      <w:color w:val="954F72" w:themeColor="followedHyperlink"/>
      <w:u w:val="single"/>
    </w:rPr>
  </w:style>
  <w:style w:type="character" w:styleId="CommentReference">
    <w:name w:val="annotation reference"/>
    <w:basedOn w:val="DefaultParagraphFont"/>
    <w:uiPriority w:val="99"/>
    <w:semiHidden/>
    <w:unhideWhenUsed/>
    <w:rsid w:val="0036367F"/>
    <w:rPr>
      <w:sz w:val="16"/>
      <w:szCs w:val="16"/>
    </w:rPr>
  </w:style>
  <w:style w:type="paragraph" w:styleId="CommentText">
    <w:name w:val="annotation text"/>
    <w:basedOn w:val="Normal"/>
    <w:link w:val="CommentTextChar"/>
    <w:uiPriority w:val="99"/>
    <w:semiHidden/>
    <w:unhideWhenUsed/>
    <w:rsid w:val="0036367F"/>
    <w:pPr>
      <w:spacing w:line="240" w:lineRule="auto"/>
    </w:pPr>
    <w:rPr>
      <w:sz w:val="20"/>
      <w:szCs w:val="20"/>
    </w:rPr>
  </w:style>
  <w:style w:type="character" w:customStyle="1" w:styleId="CommentTextChar">
    <w:name w:val="Comment Text Char"/>
    <w:basedOn w:val="DefaultParagraphFont"/>
    <w:link w:val="CommentText"/>
    <w:uiPriority w:val="99"/>
    <w:semiHidden/>
    <w:rsid w:val="0036367F"/>
    <w:rPr>
      <w:sz w:val="20"/>
      <w:szCs w:val="20"/>
    </w:rPr>
  </w:style>
  <w:style w:type="paragraph" w:styleId="CommentSubject">
    <w:name w:val="annotation subject"/>
    <w:basedOn w:val="CommentText"/>
    <w:next w:val="CommentText"/>
    <w:link w:val="CommentSubjectChar"/>
    <w:uiPriority w:val="99"/>
    <w:semiHidden/>
    <w:unhideWhenUsed/>
    <w:rsid w:val="0036367F"/>
    <w:rPr>
      <w:b/>
      <w:bCs/>
    </w:rPr>
  </w:style>
  <w:style w:type="character" w:customStyle="1" w:styleId="CommentSubjectChar">
    <w:name w:val="Comment Subject Char"/>
    <w:basedOn w:val="CommentTextChar"/>
    <w:link w:val="CommentSubject"/>
    <w:uiPriority w:val="99"/>
    <w:semiHidden/>
    <w:rsid w:val="003636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76514">
      <w:bodyDiv w:val="1"/>
      <w:marLeft w:val="0"/>
      <w:marRight w:val="0"/>
      <w:marTop w:val="0"/>
      <w:marBottom w:val="0"/>
      <w:divBdr>
        <w:top w:val="none" w:sz="0" w:space="0" w:color="auto"/>
        <w:left w:val="none" w:sz="0" w:space="0" w:color="auto"/>
        <w:bottom w:val="none" w:sz="0" w:space="0" w:color="auto"/>
        <w:right w:val="none" w:sz="0" w:space="0" w:color="auto"/>
      </w:divBdr>
    </w:div>
    <w:div w:id="299651072">
      <w:bodyDiv w:val="1"/>
      <w:marLeft w:val="0"/>
      <w:marRight w:val="0"/>
      <w:marTop w:val="0"/>
      <w:marBottom w:val="0"/>
      <w:divBdr>
        <w:top w:val="none" w:sz="0" w:space="0" w:color="auto"/>
        <w:left w:val="none" w:sz="0" w:space="0" w:color="auto"/>
        <w:bottom w:val="none" w:sz="0" w:space="0" w:color="auto"/>
        <w:right w:val="none" w:sz="0" w:space="0" w:color="auto"/>
      </w:divBdr>
    </w:div>
    <w:div w:id="527913042">
      <w:bodyDiv w:val="1"/>
      <w:marLeft w:val="0"/>
      <w:marRight w:val="0"/>
      <w:marTop w:val="0"/>
      <w:marBottom w:val="0"/>
      <w:divBdr>
        <w:top w:val="none" w:sz="0" w:space="0" w:color="auto"/>
        <w:left w:val="none" w:sz="0" w:space="0" w:color="auto"/>
        <w:bottom w:val="none" w:sz="0" w:space="0" w:color="auto"/>
        <w:right w:val="none" w:sz="0" w:space="0" w:color="auto"/>
      </w:divBdr>
    </w:div>
    <w:div w:id="121283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568A1A-71B9-49ED-A618-FD815BB9B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1197</Words>
  <Characters>6826</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Mayah Ngalla</dc:creator>
  <cp:keywords/>
  <dc:description/>
  <cp:lastModifiedBy>Terence Odongo</cp:lastModifiedBy>
  <cp:revision>6</cp:revision>
  <cp:lastPrinted>2022-01-28T15:38:00Z</cp:lastPrinted>
  <dcterms:created xsi:type="dcterms:W3CDTF">2022-02-26T13:54:00Z</dcterms:created>
  <dcterms:modified xsi:type="dcterms:W3CDTF">2022-03-05T12:04:00Z</dcterms:modified>
</cp:coreProperties>
</file>