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B8182F" w14:textId="77777777" w:rsidR="008A542A" w:rsidRPr="00423A72" w:rsidRDefault="00BA7AD2" w:rsidP="008A542A">
      <w:pPr>
        <w:spacing w:after="0" w:line="240" w:lineRule="auto"/>
        <w:jc w:val="center"/>
        <w:rPr>
          <w:rFonts w:ascii="Calibri" w:eastAsia="Calibri" w:hAnsi="Calibri" w:cs="Calibri"/>
          <w:bCs/>
          <w:kern w:val="0"/>
          <w:szCs w:val="24"/>
          <w:lang w:val="fr-FR" w:bidi="ar-SA"/>
          <w14:ligatures w14:val="none"/>
        </w:rPr>
      </w:pPr>
      <w:r>
        <w:rPr>
          <w:rFonts w:ascii="Calibri" w:eastAsia="Calibri" w:hAnsi="Calibri" w:cs="Calibri"/>
          <w:b/>
          <w:bCs/>
          <w:kern w:val="0"/>
          <w:szCs w:val="24"/>
          <w:u w:val="single"/>
          <w:bdr w:val="nil"/>
          <w:lang w:val="fr-FR" w:bidi="ar-SA"/>
        </w:rPr>
        <w:t>MATRICE DE MISE EN ŒUVRE DU COMMUNIQUÉ CONJOINT</w:t>
      </w:r>
    </w:p>
    <w:p w14:paraId="4B84BA5C" w14:textId="77777777" w:rsidR="008A542A" w:rsidRPr="00423A72" w:rsidRDefault="008A542A" w:rsidP="008A542A">
      <w:pPr>
        <w:spacing w:after="0" w:line="240" w:lineRule="auto"/>
        <w:jc w:val="both"/>
        <w:rPr>
          <w:rFonts w:ascii="Calibri" w:eastAsia="Calibri" w:hAnsi="Calibri" w:cs="Calibri"/>
          <w:bCs/>
          <w:kern w:val="0"/>
          <w:szCs w:val="24"/>
          <w:lang w:val="fr-FR" w:bidi="ar-SA"/>
          <w14:ligatures w14:val="none"/>
        </w:rPr>
      </w:pPr>
    </w:p>
    <w:p w14:paraId="3DEE3BDB" w14:textId="77777777" w:rsidR="008A542A" w:rsidRPr="00423A72" w:rsidRDefault="00BA7AD2" w:rsidP="008A542A">
      <w:pPr>
        <w:spacing w:after="0" w:line="240" w:lineRule="auto"/>
        <w:jc w:val="center"/>
        <w:rPr>
          <w:rFonts w:ascii="Calibri" w:eastAsia="Calibri" w:hAnsi="Calibri" w:cs="Calibri"/>
          <w:b/>
          <w:bCs/>
          <w:kern w:val="0"/>
          <w:szCs w:val="24"/>
          <w:lang w:val="fr-FR" w:bidi="ar-SA"/>
          <w14:ligatures w14:val="none"/>
        </w:rPr>
      </w:pPr>
      <w:r>
        <w:rPr>
          <w:rFonts w:ascii="Calibri" w:eastAsia="Calibri" w:hAnsi="Calibri" w:cs="Calibri"/>
          <w:b/>
          <w:bCs/>
          <w:kern w:val="0"/>
          <w:szCs w:val="24"/>
          <w:bdr w:val="nil"/>
          <w:lang w:val="fr-FR" w:bidi="ar-SA"/>
        </w:rPr>
        <w:t>PREMIÈRE RÉUNION DE CONCERTATION ANNUELLE ENTRE LE CONSEIL DE PAIX ET DE SÉCURITÉ</w:t>
      </w:r>
      <w:r w:rsidR="00C36CCD">
        <w:rPr>
          <w:rFonts w:ascii="Calibri" w:eastAsia="Calibri" w:hAnsi="Calibri" w:cs="Calibri"/>
          <w:b/>
          <w:bCs/>
          <w:kern w:val="0"/>
          <w:szCs w:val="24"/>
          <w:bdr w:val="nil"/>
          <w:lang w:val="fr-FR" w:bidi="ar-SA"/>
        </w:rPr>
        <w:t xml:space="preserve"> (CPS)</w:t>
      </w:r>
      <w:r>
        <w:rPr>
          <w:rFonts w:ascii="Calibri" w:eastAsia="Calibri" w:hAnsi="Calibri" w:cs="Calibri"/>
          <w:b/>
          <w:bCs/>
          <w:kern w:val="0"/>
          <w:szCs w:val="24"/>
          <w:bdr w:val="nil"/>
          <w:lang w:val="fr-FR" w:bidi="ar-SA"/>
        </w:rPr>
        <w:t xml:space="preserve"> DE L'UNION AFRICAINE</w:t>
      </w:r>
      <w:r w:rsidR="00C36CCD">
        <w:rPr>
          <w:rFonts w:ascii="Calibri" w:eastAsia="Calibri" w:hAnsi="Calibri" w:cs="Calibri"/>
          <w:b/>
          <w:bCs/>
          <w:kern w:val="0"/>
          <w:szCs w:val="24"/>
          <w:bdr w:val="nil"/>
          <w:lang w:val="fr-FR" w:bidi="ar-SA"/>
        </w:rPr>
        <w:t xml:space="preserve"> (UA)</w:t>
      </w:r>
      <w:r>
        <w:rPr>
          <w:rFonts w:ascii="Calibri" w:eastAsia="Calibri" w:hAnsi="Calibri" w:cs="Calibri"/>
          <w:b/>
          <w:bCs/>
          <w:kern w:val="0"/>
          <w:szCs w:val="24"/>
          <w:bdr w:val="nil"/>
          <w:lang w:val="fr-FR" w:bidi="ar-SA"/>
        </w:rPr>
        <w:t xml:space="preserve"> ET LE CONSEIL DE MÉDIATION ET DE SÉCURITÉ</w:t>
      </w:r>
      <w:r w:rsidR="00C36CCD">
        <w:rPr>
          <w:rFonts w:ascii="Calibri" w:eastAsia="Calibri" w:hAnsi="Calibri" w:cs="Calibri"/>
          <w:b/>
          <w:bCs/>
          <w:kern w:val="0"/>
          <w:szCs w:val="24"/>
          <w:bdr w:val="nil"/>
          <w:lang w:val="fr-FR" w:bidi="ar-SA"/>
        </w:rPr>
        <w:t xml:space="preserve"> (A</w:t>
      </w:r>
      <w:r>
        <w:rPr>
          <w:rFonts w:ascii="Calibri" w:eastAsia="Calibri" w:hAnsi="Calibri" w:cs="Calibri"/>
          <w:b/>
          <w:bCs/>
          <w:kern w:val="0"/>
          <w:szCs w:val="24"/>
          <w:bdr w:val="nil"/>
          <w:lang w:val="fr-FR" w:bidi="ar-SA"/>
        </w:rPr>
        <w:t>U NIVEAU DES AMBASSADEURS</w:t>
      </w:r>
      <w:r w:rsidR="00C36CCD">
        <w:rPr>
          <w:rFonts w:ascii="Calibri" w:eastAsia="Calibri" w:hAnsi="Calibri" w:cs="Calibri"/>
          <w:b/>
          <w:bCs/>
          <w:kern w:val="0"/>
          <w:szCs w:val="24"/>
          <w:bdr w:val="nil"/>
          <w:lang w:val="fr-FR" w:bidi="ar-SA"/>
        </w:rPr>
        <w:t xml:space="preserve">) </w:t>
      </w:r>
      <w:r>
        <w:rPr>
          <w:rFonts w:ascii="Calibri" w:eastAsia="Calibri" w:hAnsi="Calibri" w:cs="Calibri"/>
          <w:b/>
          <w:bCs/>
          <w:kern w:val="0"/>
          <w:szCs w:val="24"/>
          <w:bdr w:val="nil"/>
          <w:lang w:val="fr-FR" w:bidi="ar-SA"/>
        </w:rPr>
        <w:t>DE LA COMMUNAUTÉ ÉCONOMIQUE DES ÉTATS DE L'AFRIQUE DE L'OUEST</w:t>
      </w:r>
      <w:r w:rsidR="00C36CCD">
        <w:rPr>
          <w:rFonts w:ascii="Calibri" w:eastAsia="Calibri" w:hAnsi="Calibri" w:cs="Calibri"/>
          <w:b/>
          <w:bCs/>
          <w:kern w:val="0"/>
          <w:szCs w:val="24"/>
          <w:bdr w:val="nil"/>
          <w:lang w:val="fr-FR" w:bidi="ar-SA"/>
        </w:rPr>
        <w:t xml:space="preserve"> (CEDEAO)</w:t>
      </w:r>
      <w:r>
        <w:rPr>
          <w:rFonts w:ascii="Calibri" w:eastAsia="Calibri" w:hAnsi="Calibri" w:cs="Calibri"/>
          <w:b/>
          <w:bCs/>
          <w:kern w:val="0"/>
          <w:szCs w:val="24"/>
          <w:bdr w:val="nil"/>
          <w:lang w:val="fr-FR" w:bidi="ar-SA"/>
        </w:rPr>
        <w:t xml:space="preserve">  </w:t>
      </w:r>
    </w:p>
    <w:p w14:paraId="777B11A1" w14:textId="77777777" w:rsidR="008A542A" w:rsidRPr="006F6FB9" w:rsidRDefault="00BA7AD2" w:rsidP="006F6FB9">
      <w:pPr>
        <w:spacing w:after="0" w:line="240" w:lineRule="auto"/>
        <w:jc w:val="center"/>
        <w:rPr>
          <w:rFonts w:ascii="Calibri" w:eastAsia="Calibri" w:hAnsi="Calibri" w:cs="Calibri"/>
          <w:b/>
          <w:bCs/>
          <w:kern w:val="0"/>
          <w:szCs w:val="24"/>
          <w:lang w:bidi="ar-SA"/>
          <w14:ligatures w14:val="none"/>
        </w:rPr>
      </w:pPr>
      <w:r>
        <w:rPr>
          <w:rFonts w:ascii="Calibri" w:eastAsia="Calibri" w:hAnsi="Calibri" w:cs="Calibri"/>
          <w:b/>
          <w:bCs/>
          <w:kern w:val="0"/>
          <w:szCs w:val="24"/>
          <w:bdr w:val="nil"/>
          <w:lang w:val="fr-FR" w:bidi="ar-SA"/>
        </w:rPr>
        <w:t>24 AVRIL 2024, ABUJA (NIGERIA)</w:t>
      </w:r>
    </w:p>
    <w:tbl>
      <w:tblPr>
        <w:tblStyle w:val="TableGrid"/>
        <w:tblW w:w="0" w:type="auto"/>
        <w:tblLook w:val="04A0" w:firstRow="1" w:lastRow="0" w:firstColumn="1" w:lastColumn="0" w:noHBand="0" w:noVBand="1"/>
      </w:tblPr>
      <w:tblGrid>
        <w:gridCol w:w="895"/>
        <w:gridCol w:w="5369"/>
        <w:gridCol w:w="3132"/>
      </w:tblGrid>
      <w:tr w:rsidR="005A381A" w14:paraId="29F7E1B1" w14:textId="77777777" w:rsidTr="008A542A">
        <w:tc>
          <w:tcPr>
            <w:tcW w:w="895" w:type="dxa"/>
          </w:tcPr>
          <w:p w14:paraId="47603BDC" w14:textId="77777777" w:rsidR="008A542A" w:rsidRPr="006F6FB9" w:rsidRDefault="00BA7AD2">
            <w:pPr>
              <w:rPr>
                <w:b/>
                <w:bCs/>
              </w:rPr>
            </w:pPr>
            <w:r>
              <w:rPr>
                <w:rFonts w:ascii="Calibri" w:eastAsia="Calibri" w:hAnsi="Calibri" w:cs="Calibri"/>
                <w:b/>
                <w:bCs/>
                <w:szCs w:val="24"/>
                <w:bdr w:val="nil"/>
                <w:lang w:val="fr-FR"/>
              </w:rPr>
              <w:t>No</w:t>
            </w:r>
          </w:p>
        </w:tc>
        <w:tc>
          <w:tcPr>
            <w:tcW w:w="5369" w:type="dxa"/>
          </w:tcPr>
          <w:p w14:paraId="51E52FD4" w14:textId="77777777" w:rsidR="008A542A" w:rsidRPr="006F6FB9" w:rsidRDefault="00BA7AD2">
            <w:pPr>
              <w:rPr>
                <w:b/>
                <w:bCs/>
              </w:rPr>
            </w:pPr>
            <w:r>
              <w:rPr>
                <w:rFonts w:ascii="Calibri" w:eastAsia="Calibri" w:hAnsi="Calibri" w:cs="Calibri"/>
                <w:b/>
                <w:bCs/>
                <w:szCs w:val="24"/>
                <w:bdr w:val="nil"/>
                <w:lang w:val="fr-FR"/>
              </w:rPr>
              <w:t>DÉCISION</w:t>
            </w:r>
          </w:p>
        </w:tc>
        <w:tc>
          <w:tcPr>
            <w:tcW w:w="3132" w:type="dxa"/>
          </w:tcPr>
          <w:p w14:paraId="6068A7BD" w14:textId="77777777" w:rsidR="008A542A" w:rsidRPr="006F6FB9" w:rsidRDefault="00BA7AD2">
            <w:pPr>
              <w:rPr>
                <w:b/>
                <w:bCs/>
              </w:rPr>
            </w:pPr>
            <w:r>
              <w:rPr>
                <w:rFonts w:ascii="Calibri" w:eastAsia="Calibri" w:hAnsi="Calibri" w:cs="Calibri"/>
                <w:b/>
                <w:bCs/>
                <w:szCs w:val="24"/>
                <w:bdr w:val="nil"/>
                <w:lang w:val="fr-FR"/>
              </w:rPr>
              <w:t>ÉTAT</w:t>
            </w:r>
          </w:p>
        </w:tc>
      </w:tr>
      <w:tr w:rsidR="005A381A" w:rsidRPr="00423A72" w14:paraId="50D22861" w14:textId="77777777" w:rsidTr="008A542A">
        <w:tc>
          <w:tcPr>
            <w:tcW w:w="895" w:type="dxa"/>
          </w:tcPr>
          <w:p w14:paraId="259A0996" w14:textId="77777777" w:rsidR="008A542A" w:rsidRDefault="008A542A" w:rsidP="006F6FB9">
            <w:pPr>
              <w:pStyle w:val="ListParagraph"/>
              <w:numPr>
                <w:ilvl w:val="0"/>
                <w:numId w:val="1"/>
              </w:numPr>
            </w:pPr>
          </w:p>
        </w:tc>
        <w:tc>
          <w:tcPr>
            <w:tcW w:w="5369" w:type="dxa"/>
          </w:tcPr>
          <w:p w14:paraId="216E8182" w14:textId="77777777" w:rsidR="008A542A" w:rsidRPr="00423A72" w:rsidRDefault="00BA7AD2" w:rsidP="006F6FB9">
            <w:pPr>
              <w:jc w:val="both"/>
              <w:rPr>
                <w:lang w:val="fr-FR"/>
              </w:rPr>
            </w:pPr>
            <w:r>
              <w:rPr>
                <w:rFonts w:ascii="Calibri" w:eastAsia="Calibri" w:hAnsi="Calibri" w:cs="Calibri"/>
                <w:szCs w:val="24"/>
                <w:bdr w:val="nil"/>
                <w:lang w:val="fr-FR"/>
              </w:rPr>
              <w:t>Renforcement de la coopération et de la coordination entre les Nations Unies, l'Union africaine et les Communautés économiques régions/Mécanismes régionaux (CER/MR) dans la lutte contre le terrorisme et l'insurrection dans la région</w:t>
            </w:r>
          </w:p>
        </w:tc>
        <w:tc>
          <w:tcPr>
            <w:tcW w:w="3132" w:type="dxa"/>
          </w:tcPr>
          <w:p w14:paraId="276B0CAE" w14:textId="77777777" w:rsidR="008A542A" w:rsidRPr="00423A72" w:rsidRDefault="00BA7AD2">
            <w:pPr>
              <w:rPr>
                <w:lang w:val="fr-FR"/>
              </w:rPr>
            </w:pPr>
            <w:r>
              <w:rPr>
                <w:rFonts w:ascii="Calibri" w:eastAsia="Calibri" w:hAnsi="Calibri" w:cs="Calibri"/>
                <w:szCs w:val="24"/>
                <w:bdr w:val="nil"/>
                <w:lang w:val="fr-FR"/>
              </w:rPr>
              <w:t>Mise en œuvre et en cours</w:t>
            </w:r>
          </w:p>
        </w:tc>
      </w:tr>
      <w:tr w:rsidR="005A381A" w:rsidRPr="00423A72" w14:paraId="4D97606E" w14:textId="77777777" w:rsidTr="008A542A">
        <w:tc>
          <w:tcPr>
            <w:tcW w:w="895" w:type="dxa"/>
          </w:tcPr>
          <w:p w14:paraId="296401C8" w14:textId="77777777" w:rsidR="008A542A" w:rsidRPr="00423A72" w:rsidRDefault="008A542A" w:rsidP="006F6FB9">
            <w:pPr>
              <w:pStyle w:val="ListParagraph"/>
              <w:numPr>
                <w:ilvl w:val="0"/>
                <w:numId w:val="1"/>
              </w:numPr>
              <w:rPr>
                <w:lang w:val="fr-FR"/>
              </w:rPr>
            </w:pPr>
          </w:p>
        </w:tc>
        <w:tc>
          <w:tcPr>
            <w:tcW w:w="5369" w:type="dxa"/>
          </w:tcPr>
          <w:p w14:paraId="7CA528C0" w14:textId="77777777" w:rsidR="008A542A" w:rsidRPr="00423A72" w:rsidRDefault="00BA7AD2" w:rsidP="006F6FB9">
            <w:pPr>
              <w:jc w:val="both"/>
              <w:rPr>
                <w:lang w:val="fr-FR"/>
              </w:rPr>
            </w:pPr>
            <w:r>
              <w:rPr>
                <w:rFonts w:ascii="Calibri" w:eastAsia="Calibri" w:hAnsi="Calibri" w:cs="Calibri"/>
                <w:szCs w:val="24"/>
                <w:bdr w:val="nil"/>
                <w:lang w:val="fr-FR"/>
              </w:rPr>
              <w:t>Mise en œuvre immédiate et dynamisation des mécanismes régionaux de sécurité existants, en particulier les processus de Nouakchott et de Djibouti, les plans d'action de la CEDEAO contre le terrorisme, l'Initiative d'Accra et la Force multinationale mixte du Bassin du Lac Tchad</w:t>
            </w:r>
          </w:p>
        </w:tc>
        <w:tc>
          <w:tcPr>
            <w:tcW w:w="3132" w:type="dxa"/>
          </w:tcPr>
          <w:p w14:paraId="67193872" w14:textId="77777777" w:rsidR="008A542A" w:rsidRPr="00423A72" w:rsidRDefault="00BA7AD2">
            <w:pPr>
              <w:rPr>
                <w:lang w:val="fr-FR"/>
              </w:rPr>
            </w:pPr>
            <w:r>
              <w:rPr>
                <w:rFonts w:ascii="Calibri" w:eastAsia="Calibri" w:hAnsi="Calibri" w:cs="Calibri"/>
                <w:szCs w:val="24"/>
                <w:bdr w:val="nil"/>
                <w:lang w:val="fr-FR"/>
              </w:rPr>
              <w:t>Mise en œuvre et en cours</w:t>
            </w:r>
          </w:p>
        </w:tc>
      </w:tr>
      <w:tr w:rsidR="005A381A" w14:paraId="2A3B4DC0" w14:textId="77777777" w:rsidTr="008A542A">
        <w:tc>
          <w:tcPr>
            <w:tcW w:w="895" w:type="dxa"/>
          </w:tcPr>
          <w:p w14:paraId="435B2ED5" w14:textId="77777777" w:rsidR="008A542A" w:rsidRPr="00423A72" w:rsidRDefault="008A542A" w:rsidP="006F6FB9">
            <w:pPr>
              <w:pStyle w:val="ListParagraph"/>
              <w:numPr>
                <w:ilvl w:val="0"/>
                <w:numId w:val="1"/>
              </w:numPr>
              <w:rPr>
                <w:lang w:val="fr-FR"/>
              </w:rPr>
            </w:pPr>
          </w:p>
        </w:tc>
        <w:tc>
          <w:tcPr>
            <w:tcW w:w="5369" w:type="dxa"/>
          </w:tcPr>
          <w:p w14:paraId="1C20772D" w14:textId="77777777" w:rsidR="008A542A" w:rsidRPr="00423A72" w:rsidRDefault="00BA7AD2" w:rsidP="006F6FB9">
            <w:pPr>
              <w:jc w:val="both"/>
              <w:rPr>
                <w:lang w:val="fr-FR"/>
              </w:rPr>
            </w:pPr>
            <w:r>
              <w:rPr>
                <w:rFonts w:ascii="Calibri" w:eastAsia="Calibri" w:hAnsi="Calibri" w:cs="Calibri"/>
                <w:szCs w:val="24"/>
                <w:bdr w:val="nil"/>
                <w:lang w:val="fr-FR"/>
              </w:rPr>
              <w:t>Demande à la Commission de l'UA et à la Commission de la CEDEAO de continuer à dialoguer avec les trois États membres afin qu'ils demeurent au sein de la Communauté</w:t>
            </w:r>
          </w:p>
        </w:tc>
        <w:tc>
          <w:tcPr>
            <w:tcW w:w="3132" w:type="dxa"/>
          </w:tcPr>
          <w:p w14:paraId="2488AC00" w14:textId="77777777" w:rsidR="008A542A" w:rsidRDefault="00BA7AD2">
            <w:r>
              <w:rPr>
                <w:rFonts w:ascii="Calibri" w:eastAsia="Calibri" w:hAnsi="Calibri" w:cs="Calibri"/>
                <w:szCs w:val="24"/>
                <w:bdr w:val="nil"/>
                <w:lang w:val="fr-FR"/>
              </w:rPr>
              <w:t>En cours</w:t>
            </w:r>
          </w:p>
        </w:tc>
      </w:tr>
      <w:tr w:rsidR="005A381A" w14:paraId="7CD4085F" w14:textId="77777777" w:rsidTr="008A542A">
        <w:tc>
          <w:tcPr>
            <w:tcW w:w="895" w:type="dxa"/>
          </w:tcPr>
          <w:p w14:paraId="402278BF" w14:textId="77777777" w:rsidR="008A542A" w:rsidRDefault="008A542A" w:rsidP="006F6FB9">
            <w:pPr>
              <w:pStyle w:val="ListParagraph"/>
              <w:numPr>
                <w:ilvl w:val="0"/>
                <w:numId w:val="1"/>
              </w:numPr>
            </w:pPr>
          </w:p>
        </w:tc>
        <w:tc>
          <w:tcPr>
            <w:tcW w:w="5369" w:type="dxa"/>
          </w:tcPr>
          <w:p w14:paraId="057F017F" w14:textId="77777777" w:rsidR="008A542A" w:rsidRPr="00423A72" w:rsidRDefault="00BA7AD2" w:rsidP="00423A72">
            <w:pPr>
              <w:jc w:val="both"/>
              <w:rPr>
                <w:lang w:val="fr-FR"/>
              </w:rPr>
            </w:pPr>
            <w:r>
              <w:rPr>
                <w:rFonts w:ascii="Calibri" w:eastAsia="Calibri" w:hAnsi="Calibri" w:cs="Calibri"/>
                <w:szCs w:val="24"/>
                <w:bdr w:val="nil"/>
                <w:lang w:val="fr-FR"/>
              </w:rPr>
              <w:t xml:space="preserve">Demande à la Commission de l'UA de finaliser la réalisation de l'étude approfondie sur le financement du terrorisme en Afrique, comme </w:t>
            </w:r>
            <w:r w:rsidR="00423A72">
              <w:rPr>
                <w:rFonts w:ascii="Calibri" w:eastAsia="Calibri" w:hAnsi="Calibri" w:cs="Calibri"/>
                <w:szCs w:val="24"/>
                <w:bdr w:val="nil"/>
                <w:lang w:val="fr-FR"/>
              </w:rPr>
              <w:t xml:space="preserve">requis par </w:t>
            </w:r>
            <w:r>
              <w:rPr>
                <w:rFonts w:ascii="Calibri" w:eastAsia="Calibri" w:hAnsi="Calibri" w:cs="Calibri"/>
                <w:szCs w:val="24"/>
                <w:bdr w:val="nil"/>
                <w:lang w:val="fr-FR"/>
              </w:rPr>
              <w:t>la Déclaration de Malabo.</w:t>
            </w:r>
          </w:p>
        </w:tc>
        <w:tc>
          <w:tcPr>
            <w:tcW w:w="3132" w:type="dxa"/>
          </w:tcPr>
          <w:p w14:paraId="74690AE6" w14:textId="77777777" w:rsidR="008A542A" w:rsidRDefault="00BA7AD2">
            <w:r>
              <w:rPr>
                <w:rFonts w:ascii="Calibri" w:eastAsia="Calibri" w:hAnsi="Calibri" w:cs="Calibri"/>
                <w:szCs w:val="24"/>
                <w:bdr w:val="nil"/>
                <w:lang w:val="fr-FR"/>
              </w:rPr>
              <w:t>En cours</w:t>
            </w:r>
          </w:p>
        </w:tc>
      </w:tr>
      <w:tr w:rsidR="005A381A" w14:paraId="18ECD071" w14:textId="77777777" w:rsidTr="008A542A">
        <w:tc>
          <w:tcPr>
            <w:tcW w:w="895" w:type="dxa"/>
          </w:tcPr>
          <w:p w14:paraId="6D521739" w14:textId="77777777" w:rsidR="008A542A" w:rsidRDefault="008A542A" w:rsidP="006F6FB9">
            <w:pPr>
              <w:pStyle w:val="ListParagraph"/>
              <w:numPr>
                <w:ilvl w:val="0"/>
                <w:numId w:val="1"/>
              </w:numPr>
            </w:pPr>
          </w:p>
        </w:tc>
        <w:tc>
          <w:tcPr>
            <w:tcW w:w="5369" w:type="dxa"/>
          </w:tcPr>
          <w:p w14:paraId="0151E983" w14:textId="77777777" w:rsidR="008A542A" w:rsidRPr="00423A72" w:rsidRDefault="00BA7AD2" w:rsidP="006F6FB9">
            <w:pPr>
              <w:jc w:val="both"/>
              <w:rPr>
                <w:lang w:val="fr-FR"/>
              </w:rPr>
            </w:pPr>
            <w:r>
              <w:rPr>
                <w:rFonts w:ascii="Calibri" w:eastAsia="Calibri" w:hAnsi="Calibri" w:cs="Calibri"/>
                <w:szCs w:val="24"/>
                <w:bdr w:val="nil"/>
                <w:lang w:val="fr-FR"/>
              </w:rPr>
              <w:t>Mobilisation conjointe de ressources pour soutenir les opérations de paix dans la région</w:t>
            </w:r>
          </w:p>
        </w:tc>
        <w:tc>
          <w:tcPr>
            <w:tcW w:w="3132" w:type="dxa"/>
          </w:tcPr>
          <w:p w14:paraId="3E77E72F" w14:textId="77777777" w:rsidR="008A542A" w:rsidRDefault="00BA7AD2">
            <w:r>
              <w:rPr>
                <w:rFonts w:ascii="Calibri" w:eastAsia="Calibri" w:hAnsi="Calibri" w:cs="Calibri"/>
                <w:szCs w:val="24"/>
                <w:bdr w:val="nil"/>
                <w:lang w:val="fr-FR"/>
              </w:rPr>
              <w:t>En cours</w:t>
            </w:r>
          </w:p>
        </w:tc>
      </w:tr>
      <w:tr w:rsidR="005A381A" w14:paraId="4A930558" w14:textId="77777777" w:rsidTr="008A542A">
        <w:tc>
          <w:tcPr>
            <w:tcW w:w="895" w:type="dxa"/>
          </w:tcPr>
          <w:p w14:paraId="5005403D" w14:textId="77777777" w:rsidR="008A542A" w:rsidRDefault="008A542A" w:rsidP="006F6FB9">
            <w:pPr>
              <w:pStyle w:val="ListParagraph"/>
              <w:numPr>
                <w:ilvl w:val="0"/>
                <w:numId w:val="1"/>
              </w:numPr>
            </w:pPr>
          </w:p>
        </w:tc>
        <w:tc>
          <w:tcPr>
            <w:tcW w:w="5369" w:type="dxa"/>
          </w:tcPr>
          <w:p w14:paraId="747E3F0C" w14:textId="77777777" w:rsidR="008A542A" w:rsidRPr="00423A72" w:rsidRDefault="00BA7AD2" w:rsidP="006F6FB9">
            <w:pPr>
              <w:jc w:val="both"/>
              <w:rPr>
                <w:lang w:val="fr-FR"/>
              </w:rPr>
            </w:pPr>
            <w:r>
              <w:rPr>
                <w:rFonts w:ascii="Calibri" w:eastAsia="Calibri" w:hAnsi="Calibri" w:cs="Calibri"/>
                <w:bCs/>
                <w:szCs w:val="24"/>
                <w:bdr w:val="nil"/>
                <w:lang w:val="fr-FR"/>
              </w:rPr>
              <w:t>Tenue de réunions de concertation annuelles entre le CPS de l'UA et le C</w:t>
            </w:r>
            <w:r w:rsidR="00C36CCD">
              <w:rPr>
                <w:rFonts w:ascii="Calibri" w:eastAsia="Calibri" w:hAnsi="Calibri" w:cs="Calibri"/>
                <w:bCs/>
                <w:szCs w:val="24"/>
                <w:bdr w:val="nil"/>
                <w:lang w:val="fr-FR"/>
              </w:rPr>
              <w:t>onseil de médiation et de sécurité (C</w:t>
            </w:r>
            <w:r>
              <w:rPr>
                <w:rFonts w:ascii="Calibri" w:eastAsia="Calibri" w:hAnsi="Calibri" w:cs="Calibri"/>
                <w:bCs/>
                <w:szCs w:val="24"/>
                <w:bdr w:val="nil"/>
                <w:lang w:val="fr-FR"/>
              </w:rPr>
              <w:t>MS</w:t>
            </w:r>
            <w:r w:rsidR="00C36CCD">
              <w:rPr>
                <w:rFonts w:ascii="Calibri" w:eastAsia="Calibri" w:hAnsi="Calibri" w:cs="Calibri"/>
                <w:bCs/>
                <w:szCs w:val="24"/>
                <w:bdr w:val="nil"/>
                <w:lang w:val="fr-FR"/>
              </w:rPr>
              <w:t>)</w:t>
            </w:r>
            <w:r>
              <w:rPr>
                <w:rFonts w:ascii="Calibri" w:eastAsia="Calibri" w:hAnsi="Calibri" w:cs="Calibri"/>
                <w:bCs/>
                <w:szCs w:val="24"/>
                <w:bdr w:val="nil"/>
                <w:lang w:val="fr-FR"/>
              </w:rPr>
              <w:t xml:space="preserve"> de la CEDEAO à tous les niveaux, alternativement au siège de l'UA à Addis-Abeba et au siège de la CEDEAO à Abuja, et ce sur la base d'un principe de rotation</w:t>
            </w:r>
          </w:p>
        </w:tc>
        <w:tc>
          <w:tcPr>
            <w:tcW w:w="3132" w:type="dxa"/>
          </w:tcPr>
          <w:p w14:paraId="2A4595DD" w14:textId="77777777" w:rsidR="008A542A" w:rsidRDefault="00BA7AD2">
            <w:r>
              <w:rPr>
                <w:rFonts w:ascii="Calibri" w:eastAsia="Calibri" w:hAnsi="Calibri" w:cs="Calibri"/>
                <w:szCs w:val="24"/>
                <w:bdr w:val="nil"/>
                <w:lang w:val="fr-FR"/>
              </w:rPr>
              <w:t>Mise en œuvre</w:t>
            </w:r>
          </w:p>
        </w:tc>
      </w:tr>
      <w:tr w:rsidR="005A381A" w14:paraId="0FA99869" w14:textId="77777777" w:rsidTr="008A542A">
        <w:tc>
          <w:tcPr>
            <w:tcW w:w="895" w:type="dxa"/>
          </w:tcPr>
          <w:p w14:paraId="0540D471" w14:textId="77777777" w:rsidR="008A542A" w:rsidRDefault="008A542A" w:rsidP="006F6FB9">
            <w:pPr>
              <w:pStyle w:val="ListParagraph"/>
              <w:numPr>
                <w:ilvl w:val="0"/>
                <w:numId w:val="1"/>
              </w:numPr>
            </w:pPr>
          </w:p>
        </w:tc>
        <w:tc>
          <w:tcPr>
            <w:tcW w:w="5369" w:type="dxa"/>
          </w:tcPr>
          <w:p w14:paraId="2322B3DE" w14:textId="77777777" w:rsidR="008A542A" w:rsidRPr="00423A72" w:rsidRDefault="00BA7AD2" w:rsidP="006F6FB9">
            <w:pPr>
              <w:jc w:val="both"/>
              <w:rPr>
                <w:lang w:val="fr-FR"/>
              </w:rPr>
            </w:pPr>
            <w:r>
              <w:rPr>
                <w:rFonts w:ascii="Calibri" w:eastAsia="Calibri" w:hAnsi="Calibri" w:cs="Calibri"/>
                <w:bCs/>
                <w:szCs w:val="24"/>
                <w:bdr w:val="nil"/>
                <w:lang w:val="fr-FR"/>
              </w:rPr>
              <w:t>Tenue d'échanges réguliers entre les présidents du CPS de l'UA et du CMS de la CEDEAO sur les questions d'intérêt commun, y compris par le biais de vidéoconférences (VTC)</w:t>
            </w:r>
          </w:p>
        </w:tc>
        <w:tc>
          <w:tcPr>
            <w:tcW w:w="3132" w:type="dxa"/>
          </w:tcPr>
          <w:p w14:paraId="055B03B3" w14:textId="77777777" w:rsidR="008A542A" w:rsidRDefault="00BA7AD2">
            <w:r>
              <w:rPr>
                <w:rFonts w:ascii="Calibri" w:eastAsia="Calibri" w:hAnsi="Calibri" w:cs="Calibri"/>
                <w:szCs w:val="24"/>
                <w:bdr w:val="nil"/>
                <w:lang w:val="fr-FR"/>
              </w:rPr>
              <w:t>Pas encore</w:t>
            </w:r>
          </w:p>
        </w:tc>
      </w:tr>
      <w:tr w:rsidR="005A381A" w14:paraId="6E1676CA" w14:textId="77777777" w:rsidTr="008A542A">
        <w:tc>
          <w:tcPr>
            <w:tcW w:w="895" w:type="dxa"/>
          </w:tcPr>
          <w:p w14:paraId="7848B853" w14:textId="77777777" w:rsidR="008A542A" w:rsidRDefault="008A542A" w:rsidP="006F6FB9">
            <w:pPr>
              <w:pStyle w:val="ListParagraph"/>
              <w:numPr>
                <w:ilvl w:val="0"/>
                <w:numId w:val="1"/>
              </w:numPr>
            </w:pPr>
          </w:p>
        </w:tc>
        <w:tc>
          <w:tcPr>
            <w:tcW w:w="5369" w:type="dxa"/>
          </w:tcPr>
          <w:p w14:paraId="18D45399" w14:textId="77777777" w:rsidR="008A542A" w:rsidRPr="00423A72" w:rsidRDefault="00BA7AD2" w:rsidP="006F6FB9">
            <w:pPr>
              <w:jc w:val="both"/>
              <w:rPr>
                <w:lang w:val="fr-FR"/>
              </w:rPr>
            </w:pPr>
            <w:r>
              <w:rPr>
                <w:rFonts w:ascii="Calibri" w:eastAsia="Calibri" w:hAnsi="Calibri" w:cs="Calibri"/>
                <w:bCs/>
                <w:szCs w:val="24"/>
                <w:bdr w:val="nil"/>
                <w:lang w:val="fr-FR"/>
              </w:rPr>
              <w:t xml:space="preserve">Communication rapide des décisions sur les questions de paix et de sécurité à chaque conseil afin de renforcer la subsidiarité et la complémentarité, </w:t>
            </w:r>
            <w:r>
              <w:rPr>
                <w:rFonts w:ascii="Calibri" w:eastAsia="Calibri" w:hAnsi="Calibri" w:cs="Calibri"/>
                <w:bCs/>
                <w:szCs w:val="24"/>
                <w:bdr w:val="nil"/>
                <w:lang w:val="fr-FR"/>
              </w:rPr>
              <w:lastRenderedPageBreak/>
              <w:t>tout en assurant la cohérence du processus de prise de décision</w:t>
            </w:r>
          </w:p>
        </w:tc>
        <w:tc>
          <w:tcPr>
            <w:tcW w:w="3132" w:type="dxa"/>
          </w:tcPr>
          <w:p w14:paraId="2497C969" w14:textId="77777777" w:rsidR="008A542A" w:rsidRDefault="00BA7AD2">
            <w:r>
              <w:rPr>
                <w:rFonts w:ascii="Calibri" w:eastAsia="Calibri" w:hAnsi="Calibri" w:cs="Calibri"/>
                <w:szCs w:val="24"/>
                <w:bdr w:val="nil"/>
                <w:lang w:val="fr-FR"/>
              </w:rPr>
              <w:lastRenderedPageBreak/>
              <w:t>En cours</w:t>
            </w:r>
          </w:p>
        </w:tc>
      </w:tr>
      <w:tr w:rsidR="005A381A" w14:paraId="03772D0C" w14:textId="77777777" w:rsidTr="008A542A">
        <w:tc>
          <w:tcPr>
            <w:tcW w:w="895" w:type="dxa"/>
          </w:tcPr>
          <w:p w14:paraId="6ED825AE" w14:textId="77777777" w:rsidR="008A542A" w:rsidRDefault="008A542A" w:rsidP="006F6FB9">
            <w:pPr>
              <w:pStyle w:val="ListParagraph"/>
              <w:numPr>
                <w:ilvl w:val="0"/>
                <w:numId w:val="1"/>
              </w:numPr>
            </w:pPr>
          </w:p>
        </w:tc>
        <w:tc>
          <w:tcPr>
            <w:tcW w:w="5369" w:type="dxa"/>
          </w:tcPr>
          <w:p w14:paraId="752A7F9D" w14:textId="77777777" w:rsidR="008A542A" w:rsidRPr="00423A72" w:rsidRDefault="00BA7AD2" w:rsidP="006F6FB9">
            <w:pPr>
              <w:jc w:val="both"/>
              <w:rPr>
                <w:lang w:val="fr-FR"/>
              </w:rPr>
            </w:pPr>
            <w:r>
              <w:rPr>
                <w:rFonts w:ascii="Calibri" w:eastAsia="Calibri" w:hAnsi="Calibri" w:cs="Calibri"/>
                <w:bCs/>
                <w:szCs w:val="24"/>
                <w:bdr w:val="nil"/>
                <w:lang w:val="fr-FR"/>
              </w:rPr>
              <w:t>Oganisation de missions de terrain conjointes afin d'évaluer les situations d'intérêt commun et d'identifier les actions conjointes supplémentaires le cas échéant</w:t>
            </w:r>
          </w:p>
        </w:tc>
        <w:tc>
          <w:tcPr>
            <w:tcW w:w="3132" w:type="dxa"/>
          </w:tcPr>
          <w:p w14:paraId="7A6EB087" w14:textId="77777777" w:rsidR="008A542A" w:rsidRDefault="00BA7AD2">
            <w:r>
              <w:rPr>
                <w:rFonts w:ascii="Calibri" w:eastAsia="Calibri" w:hAnsi="Calibri" w:cs="Calibri"/>
                <w:szCs w:val="24"/>
                <w:bdr w:val="nil"/>
                <w:lang w:val="fr-FR"/>
              </w:rPr>
              <w:t>Non mise en œuvre</w:t>
            </w:r>
          </w:p>
        </w:tc>
      </w:tr>
      <w:tr w:rsidR="005A381A" w14:paraId="78C57730" w14:textId="77777777" w:rsidTr="008A542A">
        <w:tc>
          <w:tcPr>
            <w:tcW w:w="895" w:type="dxa"/>
          </w:tcPr>
          <w:p w14:paraId="0E07DE88" w14:textId="77777777" w:rsidR="008A542A" w:rsidRDefault="008A542A" w:rsidP="006F6FB9">
            <w:pPr>
              <w:pStyle w:val="ListParagraph"/>
              <w:numPr>
                <w:ilvl w:val="0"/>
                <w:numId w:val="1"/>
              </w:numPr>
            </w:pPr>
          </w:p>
        </w:tc>
        <w:tc>
          <w:tcPr>
            <w:tcW w:w="5369" w:type="dxa"/>
          </w:tcPr>
          <w:p w14:paraId="5EF0D195" w14:textId="77777777" w:rsidR="008A542A" w:rsidRPr="00423A72" w:rsidRDefault="00BA7AD2" w:rsidP="006F6FB9">
            <w:pPr>
              <w:jc w:val="both"/>
              <w:rPr>
                <w:lang w:val="fr-FR"/>
              </w:rPr>
            </w:pPr>
            <w:r>
              <w:rPr>
                <w:rFonts w:ascii="Calibri" w:eastAsia="Calibri" w:hAnsi="Calibri" w:cs="Calibri"/>
                <w:bCs/>
                <w:szCs w:val="24"/>
                <w:bdr w:val="nil"/>
                <w:lang w:val="fr-FR"/>
              </w:rPr>
              <w:t>Organisation de retraites/sessions de réflexion conjointes pour réfléchir aux priorités du CPS de l'UA et du CMS de la CEDEAO en matière de paix et de sécurité et élaborer des stratégies de réponse communes appropriées</w:t>
            </w:r>
          </w:p>
        </w:tc>
        <w:tc>
          <w:tcPr>
            <w:tcW w:w="3132" w:type="dxa"/>
          </w:tcPr>
          <w:p w14:paraId="57A53A96" w14:textId="77777777" w:rsidR="008A542A" w:rsidRDefault="00BA7AD2">
            <w:r>
              <w:rPr>
                <w:rFonts w:ascii="Calibri" w:eastAsia="Calibri" w:hAnsi="Calibri" w:cs="Calibri"/>
                <w:szCs w:val="24"/>
                <w:bdr w:val="nil"/>
                <w:lang w:val="fr-FR"/>
              </w:rPr>
              <w:t xml:space="preserve">Non mise en œuvre </w:t>
            </w:r>
          </w:p>
        </w:tc>
      </w:tr>
      <w:tr w:rsidR="005A381A" w14:paraId="546CC102" w14:textId="77777777" w:rsidTr="008A542A">
        <w:tc>
          <w:tcPr>
            <w:tcW w:w="895" w:type="dxa"/>
          </w:tcPr>
          <w:p w14:paraId="4A7A5F74" w14:textId="77777777" w:rsidR="008A542A" w:rsidRDefault="008A542A" w:rsidP="006F6FB9">
            <w:pPr>
              <w:pStyle w:val="ListParagraph"/>
              <w:numPr>
                <w:ilvl w:val="0"/>
                <w:numId w:val="1"/>
              </w:numPr>
            </w:pPr>
          </w:p>
        </w:tc>
        <w:tc>
          <w:tcPr>
            <w:tcW w:w="5369" w:type="dxa"/>
          </w:tcPr>
          <w:p w14:paraId="53ACB816" w14:textId="77777777" w:rsidR="008A542A" w:rsidRPr="00423A72" w:rsidRDefault="00BA7AD2" w:rsidP="00423A72">
            <w:pPr>
              <w:jc w:val="both"/>
              <w:rPr>
                <w:lang w:val="fr-FR"/>
              </w:rPr>
            </w:pPr>
            <w:r>
              <w:rPr>
                <w:rFonts w:ascii="Calibri" w:eastAsia="Calibri" w:hAnsi="Calibri" w:cs="Calibri"/>
                <w:bCs/>
                <w:szCs w:val="24"/>
                <w:bdr w:val="nil"/>
                <w:lang w:val="fr-FR"/>
              </w:rPr>
              <w:t xml:space="preserve">Mise en place d'une équipe de points focaux des deux secrétariats afin de faciliter la création d'un réseau bien coordonné pour </w:t>
            </w:r>
            <w:r w:rsidR="00423A72">
              <w:rPr>
                <w:rFonts w:ascii="Calibri" w:eastAsia="Calibri" w:hAnsi="Calibri" w:cs="Calibri"/>
                <w:bCs/>
                <w:szCs w:val="24"/>
                <w:bdr w:val="nil"/>
                <w:lang w:val="fr-FR"/>
              </w:rPr>
              <w:t xml:space="preserve">la tenue de </w:t>
            </w:r>
            <w:r>
              <w:rPr>
                <w:rFonts w:ascii="Calibri" w:eastAsia="Calibri" w:hAnsi="Calibri" w:cs="Calibri"/>
                <w:bCs/>
                <w:szCs w:val="24"/>
                <w:bdr w:val="nil"/>
                <w:lang w:val="fr-FR"/>
              </w:rPr>
              <w:t>réunions/concertations régulières, en particulier sur les questions inscrites au programme du CPS ainsi qu'à celui du CMS de la CEDEAO</w:t>
            </w:r>
          </w:p>
        </w:tc>
        <w:tc>
          <w:tcPr>
            <w:tcW w:w="3132" w:type="dxa"/>
          </w:tcPr>
          <w:p w14:paraId="241F00C1" w14:textId="77777777" w:rsidR="008A542A" w:rsidRDefault="00BA7AD2">
            <w:r>
              <w:rPr>
                <w:rFonts w:ascii="Calibri" w:eastAsia="Calibri" w:hAnsi="Calibri" w:cs="Calibri"/>
                <w:szCs w:val="24"/>
                <w:bdr w:val="nil"/>
                <w:lang w:val="fr-FR"/>
              </w:rPr>
              <w:t xml:space="preserve">Mise en œuvre </w:t>
            </w:r>
          </w:p>
        </w:tc>
      </w:tr>
      <w:tr w:rsidR="005A381A" w14:paraId="33D2707E" w14:textId="77777777" w:rsidTr="008A542A">
        <w:tc>
          <w:tcPr>
            <w:tcW w:w="895" w:type="dxa"/>
          </w:tcPr>
          <w:p w14:paraId="6B353BD8" w14:textId="77777777" w:rsidR="008A542A" w:rsidRDefault="008A542A" w:rsidP="006F6FB9">
            <w:pPr>
              <w:pStyle w:val="ListParagraph"/>
              <w:numPr>
                <w:ilvl w:val="0"/>
                <w:numId w:val="1"/>
              </w:numPr>
            </w:pPr>
          </w:p>
        </w:tc>
        <w:tc>
          <w:tcPr>
            <w:tcW w:w="5369" w:type="dxa"/>
          </w:tcPr>
          <w:p w14:paraId="7445D0AA" w14:textId="77777777" w:rsidR="008A542A" w:rsidRPr="00423A72" w:rsidRDefault="00BA7AD2" w:rsidP="006F6FB9">
            <w:pPr>
              <w:jc w:val="both"/>
              <w:rPr>
                <w:lang w:val="fr-FR"/>
              </w:rPr>
            </w:pPr>
            <w:r>
              <w:rPr>
                <w:rFonts w:ascii="Calibri" w:eastAsia="Calibri" w:hAnsi="Calibri" w:cs="Calibri"/>
                <w:szCs w:val="24"/>
                <w:bdr w:val="nil"/>
                <w:lang w:val="fr-FR"/>
              </w:rPr>
              <w:t>Décision de commun accord de tenir leur deuxième réunion de concertation annuelle en 2025 à Addis-Abeba (Éthiopie)</w:t>
            </w:r>
          </w:p>
        </w:tc>
        <w:tc>
          <w:tcPr>
            <w:tcW w:w="3132" w:type="dxa"/>
          </w:tcPr>
          <w:p w14:paraId="35630C0F" w14:textId="77777777" w:rsidR="008A542A" w:rsidRDefault="00BA7AD2">
            <w:r>
              <w:rPr>
                <w:rFonts w:ascii="Calibri" w:eastAsia="Calibri" w:hAnsi="Calibri" w:cs="Calibri"/>
                <w:szCs w:val="24"/>
                <w:bdr w:val="nil"/>
                <w:lang w:val="fr-FR"/>
              </w:rPr>
              <w:t xml:space="preserve">Mise en œuvre </w:t>
            </w:r>
          </w:p>
        </w:tc>
      </w:tr>
    </w:tbl>
    <w:p w14:paraId="2B3271D5" w14:textId="77777777" w:rsidR="008A542A" w:rsidRDefault="008A542A"/>
    <w:sectPr w:rsidR="008A542A">
      <w:headerReference w:type="default" r:id="rId7"/>
      <w:pgSz w:w="12240" w:h="15840"/>
      <w:pgMar w:top="1417" w:right="1417" w:bottom="1134" w:left="1417"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109373" w14:textId="77777777" w:rsidR="00DF1303" w:rsidRDefault="00DF1303">
      <w:pPr>
        <w:spacing w:after="0" w:line="240" w:lineRule="auto"/>
      </w:pPr>
      <w:r>
        <w:separator/>
      </w:r>
    </w:p>
  </w:endnote>
  <w:endnote w:type="continuationSeparator" w:id="0">
    <w:p w14:paraId="365B0CC3" w14:textId="77777777" w:rsidR="00DF1303" w:rsidRDefault="00DF13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0B334F" w14:textId="77777777" w:rsidR="00DF1303" w:rsidRDefault="00DF1303">
      <w:pPr>
        <w:spacing w:after="0" w:line="240" w:lineRule="auto"/>
      </w:pPr>
      <w:r>
        <w:separator/>
      </w:r>
    </w:p>
  </w:footnote>
  <w:footnote w:type="continuationSeparator" w:id="0">
    <w:p w14:paraId="163EC240" w14:textId="77777777" w:rsidR="00DF1303" w:rsidRDefault="00DF130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5550D1" w14:textId="77777777" w:rsidR="006F6FB9" w:rsidRDefault="00BA7AD2">
    <w:pPr>
      <w:pStyle w:val="Header"/>
    </w:pPr>
    <w:r w:rsidRPr="009D75A4">
      <w:rPr>
        <w:rFonts w:ascii="Calibri" w:eastAsia="Calibri" w:hAnsi="Calibri" w:cs="Calibri"/>
        <w:noProof/>
        <w:szCs w:val="24"/>
        <w:lang w:val="fr-FR" w:eastAsia="fr-FR" w:bidi="ar-SA"/>
        <w14:ligatures w14:val="none"/>
      </w:rPr>
      <w:drawing>
        <wp:anchor distT="0" distB="0" distL="114300" distR="114300" simplePos="0" relativeHeight="251658240" behindDoc="0" locked="0" layoutInCell="1" allowOverlap="1" wp14:anchorId="3F4B3147" wp14:editId="42AE44F0">
          <wp:simplePos x="0" y="0"/>
          <wp:positionH relativeFrom="column">
            <wp:posOffset>4581525</wp:posOffset>
          </wp:positionH>
          <wp:positionV relativeFrom="paragraph">
            <wp:posOffset>-123825</wp:posOffset>
          </wp:positionV>
          <wp:extent cx="1188720" cy="932815"/>
          <wp:effectExtent l="0" t="0" r="0" b="0"/>
          <wp:wrapSquare wrapText="bothSides"/>
          <wp:docPr id="2075887366" name="Picture 1" descr="A logo with text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0270897" name="Picture 1" descr="A logo with text on it&#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188720" cy="932815"/>
                  </a:xfrm>
                  <a:prstGeom prst="rect">
                    <a:avLst/>
                  </a:prstGeom>
                  <a:noFill/>
                </pic:spPr>
              </pic:pic>
            </a:graphicData>
          </a:graphic>
          <wp14:sizeRelH relativeFrom="margin">
            <wp14:pctWidth>0</wp14:pctWidth>
          </wp14:sizeRelH>
          <wp14:sizeRelV relativeFrom="margin">
            <wp14:pctHeight>0</wp14:pctHeight>
          </wp14:sizeRelV>
        </wp:anchor>
      </w:drawing>
    </w:r>
    <w:r w:rsidRPr="006F6FB9">
      <w:rPr>
        <w:rFonts w:ascii="Calibri" w:eastAsia="Calibri" w:hAnsi="Calibri" w:cs="Calibri"/>
        <w:bCs/>
        <w:noProof/>
        <w:kern w:val="0"/>
        <w:szCs w:val="24"/>
        <w:lang w:val="fr-FR" w:eastAsia="fr-FR" w:bidi="ar-SA"/>
        <w14:ligatures w14:val="none"/>
      </w:rPr>
      <w:drawing>
        <wp:inline distT="0" distB="0" distL="0" distR="0" wp14:anchorId="3297845A" wp14:editId="79BD5060">
          <wp:extent cx="1889760" cy="914400"/>
          <wp:effectExtent l="0" t="0" r="0" b="0"/>
          <wp:docPr id="477733137" name="Picture 1" descr="A logo with a map in the midd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2933620" name="Picture 1" descr="A logo with a map in the middle&#10;&#10;Description automatically generated"/>
                  <pic:cNvPicPr>
                    <a:picLocks noChangeAspect="1" noChangeArrowheads="1"/>
                  </pic:cNvPicPr>
                </pic:nvPicPr>
                <pic:blipFill>
                  <a:blip r:embed="rId2">
                    <a:extLst>
                      <a:ext uri="{28A0092B-C50C-407E-A947-70E740481C1C}">
                        <a14:useLocalDpi xmlns:a14="http://schemas.microsoft.com/office/drawing/2010/main" val="0"/>
                      </a:ext>
                    </a:extLst>
                  </a:blip>
                  <a:stretch>
                    <a:fillRect/>
                  </a:stretch>
                </pic:blipFill>
                <pic:spPr bwMode="auto">
                  <a:xfrm>
                    <a:off x="0" y="0"/>
                    <a:ext cx="1889760" cy="91440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712499"/>
    <w:multiLevelType w:val="hybridMultilevel"/>
    <w:tmpl w:val="16EE2A16"/>
    <w:lvl w:ilvl="0" w:tplc="D2E8AF80">
      <w:start w:val="1"/>
      <w:numFmt w:val="decimal"/>
      <w:lvlText w:val="%1."/>
      <w:lvlJc w:val="left"/>
      <w:pPr>
        <w:ind w:left="720" w:hanging="360"/>
      </w:pPr>
      <w:rPr>
        <w:rFonts w:hint="default"/>
      </w:rPr>
    </w:lvl>
    <w:lvl w:ilvl="1" w:tplc="346A492C" w:tentative="1">
      <w:start w:val="1"/>
      <w:numFmt w:val="lowerLetter"/>
      <w:lvlText w:val="%2."/>
      <w:lvlJc w:val="left"/>
      <w:pPr>
        <w:ind w:left="1440" w:hanging="360"/>
      </w:pPr>
    </w:lvl>
    <w:lvl w:ilvl="2" w:tplc="8C146D8C" w:tentative="1">
      <w:start w:val="1"/>
      <w:numFmt w:val="lowerRoman"/>
      <w:lvlText w:val="%3."/>
      <w:lvlJc w:val="right"/>
      <w:pPr>
        <w:ind w:left="2160" w:hanging="180"/>
      </w:pPr>
    </w:lvl>
    <w:lvl w:ilvl="3" w:tplc="2270A3DE" w:tentative="1">
      <w:start w:val="1"/>
      <w:numFmt w:val="decimal"/>
      <w:lvlText w:val="%4."/>
      <w:lvlJc w:val="left"/>
      <w:pPr>
        <w:ind w:left="2880" w:hanging="360"/>
      </w:pPr>
    </w:lvl>
    <w:lvl w:ilvl="4" w:tplc="26E44500" w:tentative="1">
      <w:start w:val="1"/>
      <w:numFmt w:val="lowerLetter"/>
      <w:lvlText w:val="%5."/>
      <w:lvlJc w:val="left"/>
      <w:pPr>
        <w:ind w:left="3600" w:hanging="360"/>
      </w:pPr>
    </w:lvl>
    <w:lvl w:ilvl="5" w:tplc="83E69F70" w:tentative="1">
      <w:start w:val="1"/>
      <w:numFmt w:val="lowerRoman"/>
      <w:lvlText w:val="%6."/>
      <w:lvlJc w:val="right"/>
      <w:pPr>
        <w:ind w:left="4320" w:hanging="180"/>
      </w:pPr>
    </w:lvl>
    <w:lvl w:ilvl="6" w:tplc="04EC3AA0" w:tentative="1">
      <w:start w:val="1"/>
      <w:numFmt w:val="decimal"/>
      <w:lvlText w:val="%7."/>
      <w:lvlJc w:val="left"/>
      <w:pPr>
        <w:ind w:left="5040" w:hanging="360"/>
      </w:pPr>
    </w:lvl>
    <w:lvl w:ilvl="7" w:tplc="7B306416" w:tentative="1">
      <w:start w:val="1"/>
      <w:numFmt w:val="lowerLetter"/>
      <w:lvlText w:val="%8."/>
      <w:lvlJc w:val="left"/>
      <w:pPr>
        <w:ind w:left="5760" w:hanging="360"/>
      </w:pPr>
    </w:lvl>
    <w:lvl w:ilvl="8" w:tplc="342C001A" w:tentative="1">
      <w:start w:val="1"/>
      <w:numFmt w:val="lowerRoman"/>
      <w:lvlText w:val="%9."/>
      <w:lvlJc w:val="right"/>
      <w:pPr>
        <w:ind w:left="6480" w:hanging="180"/>
      </w:pPr>
    </w:lvl>
  </w:abstractNum>
  <w:num w:numId="1" w16cid:durableId="53295988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A542A"/>
    <w:rsid w:val="00423A72"/>
    <w:rsid w:val="005A381A"/>
    <w:rsid w:val="006F6FB9"/>
    <w:rsid w:val="0076300F"/>
    <w:rsid w:val="008754B6"/>
    <w:rsid w:val="008A542A"/>
    <w:rsid w:val="00A52CCD"/>
    <w:rsid w:val="00BA7AD2"/>
    <w:rsid w:val="00C36CCD"/>
    <w:rsid w:val="00C51E2F"/>
    <w:rsid w:val="00DF1303"/>
    <w:rsid w:val="00F90453"/>
  </w:rsids>
  <m:mathPr>
    <m:mathFont m:val="Cambria Math"/>
    <m:brkBin m:val="before"/>
    <m:brkBinSub m:val="--"/>
    <m:smallFrac m:val="0"/>
    <m:dispDef/>
    <m:lMargin m:val="0"/>
    <m:rMargin m:val="0"/>
    <m:defJc m:val="centerGroup"/>
    <m:wrapIndent m:val="1440"/>
    <m:intLim m:val="subSup"/>
    <m:naryLim m:val="undOvr"/>
  </m:mathPr>
  <w:themeFontLang w:val="en-US" w:bidi="hi-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E267AEA"/>
  <w15:chartTrackingRefBased/>
  <w15:docId w15:val="{51F57B97-7654-45C3-AFB1-942D2F92DC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1"/>
        <w:lang w:val="en-US" w:eastAsia="en-US" w:bidi="hi-IN"/>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A542A"/>
    <w:pPr>
      <w:keepNext/>
      <w:keepLines/>
      <w:spacing w:before="360" w:after="80"/>
      <w:outlineLvl w:val="0"/>
    </w:pPr>
    <w:rPr>
      <w:rFonts w:asciiTheme="majorHAnsi" w:eastAsiaTheme="majorEastAsia" w:hAnsiTheme="majorHAnsi" w:cstheme="majorBidi"/>
      <w:color w:val="2F5496" w:themeColor="accent1" w:themeShade="BF"/>
      <w:sz w:val="40"/>
      <w:szCs w:val="36"/>
    </w:rPr>
  </w:style>
  <w:style w:type="paragraph" w:styleId="Heading2">
    <w:name w:val="heading 2"/>
    <w:basedOn w:val="Normal"/>
    <w:next w:val="Normal"/>
    <w:link w:val="Heading2Char"/>
    <w:uiPriority w:val="9"/>
    <w:semiHidden/>
    <w:unhideWhenUsed/>
    <w:qFormat/>
    <w:rsid w:val="008A542A"/>
    <w:pPr>
      <w:keepNext/>
      <w:keepLines/>
      <w:spacing w:before="160" w:after="80"/>
      <w:outlineLvl w:val="1"/>
    </w:pPr>
    <w:rPr>
      <w:rFonts w:asciiTheme="majorHAnsi" w:eastAsiaTheme="majorEastAsia" w:hAnsiTheme="majorHAnsi" w:cstheme="majorBidi"/>
      <w:color w:val="2F5496" w:themeColor="accent1" w:themeShade="BF"/>
      <w:sz w:val="32"/>
      <w:szCs w:val="29"/>
    </w:rPr>
  </w:style>
  <w:style w:type="paragraph" w:styleId="Heading3">
    <w:name w:val="heading 3"/>
    <w:basedOn w:val="Normal"/>
    <w:next w:val="Normal"/>
    <w:link w:val="Heading3Char"/>
    <w:uiPriority w:val="9"/>
    <w:semiHidden/>
    <w:unhideWhenUsed/>
    <w:qFormat/>
    <w:rsid w:val="008A542A"/>
    <w:pPr>
      <w:keepNext/>
      <w:keepLines/>
      <w:spacing w:before="160" w:after="80"/>
      <w:outlineLvl w:val="2"/>
    </w:pPr>
    <w:rPr>
      <w:rFonts w:eastAsiaTheme="majorEastAsia" w:cstheme="majorBidi"/>
      <w:color w:val="2F5496" w:themeColor="accent1" w:themeShade="BF"/>
      <w:sz w:val="28"/>
      <w:szCs w:val="25"/>
    </w:rPr>
  </w:style>
  <w:style w:type="paragraph" w:styleId="Heading4">
    <w:name w:val="heading 4"/>
    <w:basedOn w:val="Normal"/>
    <w:next w:val="Normal"/>
    <w:link w:val="Heading4Char"/>
    <w:uiPriority w:val="9"/>
    <w:semiHidden/>
    <w:unhideWhenUsed/>
    <w:qFormat/>
    <w:rsid w:val="008A542A"/>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8A542A"/>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8A542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A542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A542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A542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A542A"/>
    <w:rPr>
      <w:rFonts w:asciiTheme="majorHAnsi" w:eastAsiaTheme="majorEastAsia" w:hAnsiTheme="majorHAnsi" w:cstheme="majorBidi"/>
      <w:color w:val="2F5496" w:themeColor="accent1" w:themeShade="BF"/>
      <w:sz w:val="40"/>
      <w:szCs w:val="36"/>
    </w:rPr>
  </w:style>
  <w:style w:type="character" w:customStyle="1" w:styleId="Heading2Char">
    <w:name w:val="Heading 2 Char"/>
    <w:basedOn w:val="DefaultParagraphFont"/>
    <w:link w:val="Heading2"/>
    <w:uiPriority w:val="9"/>
    <w:semiHidden/>
    <w:rsid w:val="008A542A"/>
    <w:rPr>
      <w:rFonts w:asciiTheme="majorHAnsi" w:eastAsiaTheme="majorEastAsia" w:hAnsiTheme="majorHAnsi" w:cstheme="majorBidi"/>
      <w:color w:val="2F5496" w:themeColor="accent1" w:themeShade="BF"/>
      <w:sz w:val="32"/>
      <w:szCs w:val="29"/>
    </w:rPr>
  </w:style>
  <w:style w:type="character" w:customStyle="1" w:styleId="Heading3Char">
    <w:name w:val="Heading 3 Char"/>
    <w:basedOn w:val="DefaultParagraphFont"/>
    <w:link w:val="Heading3"/>
    <w:uiPriority w:val="9"/>
    <w:semiHidden/>
    <w:rsid w:val="008A542A"/>
    <w:rPr>
      <w:rFonts w:eastAsiaTheme="majorEastAsia" w:cstheme="majorBidi"/>
      <w:color w:val="2F5496" w:themeColor="accent1" w:themeShade="BF"/>
      <w:sz w:val="28"/>
      <w:szCs w:val="25"/>
    </w:rPr>
  </w:style>
  <w:style w:type="character" w:customStyle="1" w:styleId="Heading4Char">
    <w:name w:val="Heading 4 Char"/>
    <w:basedOn w:val="DefaultParagraphFont"/>
    <w:link w:val="Heading4"/>
    <w:uiPriority w:val="9"/>
    <w:semiHidden/>
    <w:rsid w:val="008A542A"/>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8A542A"/>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8A542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A542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A542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A542A"/>
    <w:rPr>
      <w:rFonts w:eastAsiaTheme="majorEastAsia" w:cstheme="majorBidi"/>
      <w:color w:val="272727" w:themeColor="text1" w:themeTint="D8"/>
    </w:rPr>
  </w:style>
  <w:style w:type="paragraph" w:styleId="Title">
    <w:name w:val="Title"/>
    <w:basedOn w:val="Normal"/>
    <w:next w:val="Normal"/>
    <w:link w:val="TitleChar"/>
    <w:uiPriority w:val="10"/>
    <w:qFormat/>
    <w:rsid w:val="008A542A"/>
    <w:pPr>
      <w:spacing w:after="80" w:line="240" w:lineRule="auto"/>
      <w:contextualSpacing/>
    </w:pPr>
    <w:rPr>
      <w:rFonts w:asciiTheme="majorHAnsi" w:eastAsiaTheme="majorEastAsia" w:hAnsiTheme="majorHAnsi" w:cstheme="majorBidi"/>
      <w:spacing w:val="-10"/>
      <w:kern w:val="28"/>
      <w:sz w:val="56"/>
      <w:szCs w:val="50"/>
    </w:rPr>
  </w:style>
  <w:style w:type="character" w:customStyle="1" w:styleId="TitleChar">
    <w:name w:val="Title Char"/>
    <w:basedOn w:val="DefaultParagraphFont"/>
    <w:link w:val="Title"/>
    <w:uiPriority w:val="10"/>
    <w:rsid w:val="008A542A"/>
    <w:rPr>
      <w:rFonts w:asciiTheme="majorHAnsi" w:eastAsiaTheme="majorEastAsia" w:hAnsiTheme="majorHAnsi" w:cstheme="majorBidi"/>
      <w:spacing w:val="-10"/>
      <w:kern w:val="28"/>
      <w:sz w:val="56"/>
      <w:szCs w:val="50"/>
    </w:rPr>
  </w:style>
  <w:style w:type="paragraph" w:styleId="Subtitle">
    <w:name w:val="Subtitle"/>
    <w:basedOn w:val="Normal"/>
    <w:next w:val="Normal"/>
    <w:link w:val="SubtitleChar"/>
    <w:uiPriority w:val="11"/>
    <w:qFormat/>
    <w:rsid w:val="008A542A"/>
    <w:pPr>
      <w:numPr>
        <w:ilvl w:val="1"/>
      </w:numPr>
    </w:pPr>
    <w:rPr>
      <w:rFonts w:eastAsiaTheme="majorEastAsia" w:cstheme="majorBidi"/>
      <w:color w:val="595959" w:themeColor="text1" w:themeTint="A6"/>
      <w:spacing w:val="15"/>
      <w:sz w:val="28"/>
      <w:szCs w:val="25"/>
    </w:rPr>
  </w:style>
  <w:style w:type="character" w:customStyle="1" w:styleId="SubtitleChar">
    <w:name w:val="Subtitle Char"/>
    <w:basedOn w:val="DefaultParagraphFont"/>
    <w:link w:val="Subtitle"/>
    <w:uiPriority w:val="11"/>
    <w:rsid w:val="008A542A"/>
    <w:rPr>
      <w:rFonts w:eastAsiaTheme="majorEastAsia" w:cstheme="majorBidi"/>
      <w:color w:val="595959" w:themeColor="text1" w:themeTint="A6"/>
      <w:spacing w:val="15"/>
      <w:sz w:val="28"/>
      <w:szCs w:val="25"/>
    </w:rPr>
  </w:style>
  <w:style w:type="paragraph" w:styleId="Quote">
    <w:name w:val="Quote"/>
    <w:basedOn w:val="Normal"/>
    <w:next w:val="Normal"/>
    <w:link w:val="QuoteChar"/>
    <w:uiPriority w:val="29"/>
    <w:qFormat/>
    <w:rsid w:val="008A542A"/>
    <w:pPr>
      <w:spacing w:before="160"/>
      <w:jc w:val="center"/>
    </w:pPr>
    <w:rPr>
      <w:i/>
      <w:iCs/>
      <w:color w:val="404040" w:themeColor="text1" w:themeTint="BF"/>
    </w:rPr>
  </w:style>
  <w:style w:type="character" w:customStyle="1" w:styleId="QuoteChar">
    <w:name w:val="Quote Char"/>
    <w:basedOn w:val="DefaultParagraphFont"/>
    <w:link w:val="Quote"/>
    <w:uiPriority w:val="29"/>
    <w:rsid w:val="008A542A"/>
    <w:rPr>
      <w:i/>
      <w:iCs/>
      <w:color w:val="404040" w:themeColor="text1" w:themeTint="BF"/>
    </w:rPr>
  </w:style>
  <w:style w:type="paragraph" w:styleId="ListParagraph">
    <w:name w:val="List Paragraph"/>
    <w:basedOn w:val="Normal"/>
    <w:uiPriority w:val="34"/>
    <w:qFormat/>
    <w:rsid w:val="008A542A"/>
    <w:pPr>
      <w:ind w:left="720"/>
      <w:contextualSpacing/>
    </w:pPr>
  </w:style>
  <w:style w:type="character" w:styleId="IntenseEmphasis">
    <w:name w:val="Intense Emphasis"/>
    <w:basedOn w:val="DefaultParagraphFont"/>
    <w:uiPriority w:val="21"/>
    <w:qFormat/>
    <w:rsid w:val="008A542A"/>
    <w:rPr>
      <w:i/>
      <w:iCs/>
      <w:color w:val="2F5496" w:themeColor="accent1" w:themeShade="BF"/>
    </w:rPr>
  </w:style>
  <w:style w:type="paragraph" w:styleId="IntenseQuote">
    <w:name w:val="Intense Quote"/>
    <w:basedOn w:val="Normal"/>
    <w:next w:val="Normal"/>
    <w:link w:val="IntenseQuoteChar"/>
    <w:uiPriority w:val="30"/>
    <w:qFormat/>
    <w:rsid w:val="008A542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8A542A"/>
    <w:rPr>
      <w:i/>
      <w:iCs/>
      <w:color w:val="2F5496" w:themeColor="accent1" w:themeShade="BF"/>
    </w:rPr>
  </w:style>
  <w:style w:type="character" w:styleId="IntenseReference">
    <w:name w:val="Intense Reference"/>
    <w:basedOn w:val="DefaultParagraphFont"/>
    <w:uiPriority w:val="32"/>
    <w:qFormat/>
    <w:rsid w:val="008A542A"/>
    <w:rPr>
      <w:b/>
      <w:bCs/>
      <w:smallCaps/>
      <w:color w:val="2F5496" w:themeColor="accent1" w:themeShade="BF"/>
      <w:spacing w:val="5"/>
    </w:rPr>
  </w:style>
  <w:style w:type="table" w:styleId="TableGrid">
    <w:name w:val="Table Grid"/>
    <w:basedOn w:val="TableNormal"/>
    <w:uiPriority w:val="39"/>
    <w:rsid w:val="008A54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6F6FB9"/>
    <w:pPr>
      <w:tabs>
        <w:tab w:val="center" w:pos="4703"/>
        <w:tab w:val="right" w:pos="9406"/>
      </w:tabs>
      <w:spacing w:after="0" w:line="240" w:lineRule="auto"/>
    </w:pPr>
  </w:style>
  <w:style w:type="character" w:customStyle="1" w:styleId="HeaderChar">
    <w:name w:val="Header Char"/>
    <w:basedOn w:val="DefaultParagraphFont"/>
    <w:link w:val="Header"/>
    <w:uiPriority w:val="99"/>
    <w:rsid w:val="006F6FB9"/>
  </w:style>
  <w:style w:type="paragraph" w:styleId="Footer">
    <w:name w:val="footer"/>
    <w:basedOn w:val="Normal"/>
    <w:link w:val="FooterChar"/>
    <w:uiPriority w:val="99"/>
    <w:unhideWhenUsed/>
    <w:rsid w:val="006F6FB9"/>
    <w:pPr>
      <w:tabs>
        <w:tab w:val="center" w:pos="4703"/>
        <w:tab w:val="right" w:pos="9406"/>
      </w:tabs>
      <w:spacing w:after="0" w:line="240" w:lineRule="auto"/>
    </w:pPr>
  </w:style>
  <w:style w:type="character" w:customStyle="1" w:styleId="FooterChar">
    <w:name w:val="Footer Char"/>
    <w:basedOn w:val="DefaultParagraphFont"/>
    <w:link w:val="Footer"/>
    <w:uiPriority w:val="99"/>
    <w:rsid w:val="006F6FB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432</Words>
  <Characters>2493</Characters>
  <Application>Microsoft Office Word</Application>
  <DocSecurity>0</DocSecurity>
  <Lines>95</Lines>
  <Paragraphs>57</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2868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Neema Nicholaus Chusi</dc:creator>
  <cp:lastModifiedBy>Neema Nicholaus Chusi</cp:lastModifiedBy>
  <cp:revision>2</cp:revision>
  <dcterms:created xsi:type="dcterms:W3CDTF">2025-05-16T06:45:00Z</dcterms:created>
  <dcterms:modified xsi:type="dcterms:W3CDTF">2025-05-16T06:45:00Z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5036f984-0039-45f6-8183-fb35d0928052</vt:lpwstr>
  </property>
</Properties>
</file>